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pacing w:val="14"/>
          <w:lang w:eastAsia="zh-CN"/>
        </w:rPr>
      </w:pPr>
      <w:r>
        <w:rPr>
          <w:rFonts w:hint="eastAsia" w:ascii="黑体" w:hAnsi="黑体" w:eastAsia="黑体" w:cs="黑体"/>
          <w:spacing w:val="14"/>
          <w:lang w:eastAsia="zh-CN"/>
        </w:rPr>
        <w:t>供应商须知</w:t>
      </w:r>
    </w:p>
    <w:p>
      <w:pPr>
        <w:pStyle w:val="5"/>
        <w:ind w:firstLine="0"/>
        <w:jc w:val="center"/>
        <w:rPr>
          <w:rFonts w:ascii="仿宋" w:hAnsi="仿宋" w:eastAsia="仿宋"/>
          <w:spacing w:val="14"/>
          <w:szCs w:val="21"/>
        </w:rPr>
      </w:pPr>
    </w:p>
    <w:tbl>
      <w:tblPr>
        <w:tblStyle w:val="3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黑体" w:hAnsi="黑体" w:eastAsia="黑体" w:cs="黑体"/>
                <w:b/>
                <w:bCs/>
                <w:spacing w:val="1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8"/>
                <w:szCs w:val="28"/>
              </w:rPr>
              <w:t>名 称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黑体" w:hAnsi="黑体" w:eastAsia="黑体" w:cs="黑体"/>
                <w:b/>
                <w:bCs/>
                <w:spacing w:val="1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4"/>
                <w:sz w:val="28"/>
                <w:szCs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采购人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名  称：承德市旅游和文化广电局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5"/>
              <w:ind w:firstLine="0"/>
            </w:pP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地  址：承德市行政中心南楼344室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联系人：管先生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电  话：0314-2022980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采购项目名称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  <w:u w:val="single" w:color="000000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《承德市文旅康养产业融合发展规划》项目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采购包划分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本次采购共1个包。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供应商应就该项目进行完整响应，否则将不被接受。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供应商可投任意一个或多个包，但不得将一个包拆开响应，否则将不被接受。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资金来源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  <w:u w:val="single" w:color="000000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付款方式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由采购人付款。签订合同后预付合同额的50%，其余50%待项目完成经验收合格后一次性支付完毕。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服务期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（工期、服务周期、编制周期）50天内</w:t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履约验收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采购人根据国家有关规定、询价通知书、成交供应商的响应文件以及合同约定的内容和验收标准进行验收。验收情况作为支付货款的依据。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供应商</w:t>
            </w:r>
          </w:p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资格要求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见采购公告。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是否接受</w:t>
            </w:r>
          </w:p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联合体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不接受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□接受，应满足下列要求: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  <w:u w:val="single" w:color="000000"/>
              </w:rPr>
            </w:pPr>
            <w:r>
              <w:rPr>
                <w:rFonts w:hint="eastAsia" w:ascii="仿宋" w:hAnsi="仿宋" w:eastAsia="仿宋"/>
                <w:spacing w:val="14"/>
                <w:szCs w:val="21"/>
                <w:u w:val="single" w:color="000000"/>
              </w:rPr>
              <w:t xml:space="preserve">                                                  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  <w:u w:val="single" w:color="000000"/>
              </w:rPr>
            </w:pPr>
            <w:r>
              <w:rPr>
                <w:rFonts w:hint="eastAsia" w:ascii="仿宋" w:hAnsi="仿宋" w:eastAsia="仿宋"/>
                <w:spacing w:val="14"/>
                <w:szCs w:val="21"/>
                <w:u w:val="single" w:color="000000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供应商不得存在的其他情形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见采购公告。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比选预备会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不召开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□召开，召开时间：</w:t>
            </w:r>
          </w:p>
          <w:p>
            <w:pPr>
              <w:pStyle w:val="5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 xml:space="preserve">    召开地点：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供应商在比选预备会前提出问题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时间：/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形式：/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分包</w:t>
            </w:r>
          </w:p>
        </w:tc>
        <w:tc>
          <w:tcPr>
            <w:tcW w:w="715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不允许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□允许，分包内容要求：</w:t>
            </w:r>
          </w:p>
          <w:p>
            <w:pPr>
              <w:pStyle w:val="5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 xml:space="preserve">   分包金额要求：</w:t>
            </w:r>
          </w:p>
          <w:p>
            <w:pPr>
              <w:pStyle w:val="5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 xml:space="preserve">   对分包人的资质要求：</w:t>
            </w:r>
          </w:p>
        </w:tc>
      </w:tr>
    </w:tbl>
    <w:p>
      <w:pPr>
        <w:pStyle w:val="5"/>
        <w:ind w:firstLine="0"/>
        <w:rPr>
          <w:rFonts w:ascii="仿宋" w:hAnsi="仿宋" w:eastAsia="仿宋"/>
          <w:b/>
          <w:spacing w:val="14"/>
          <w:szCs w:val="21"/>
        </w:rPr>
      </w:pPr>
      <w:r>
        <w:rPr>
          <w:rFonts w:hint="eastAsia" w:ascii="仿宋" w:hAnsi="仿宋" w:eastAsia="仿宋"/>
          <w:b/>
          <w:spacing w:val="14"/>
          <w:szCs w:val="21"/>
        </w:rPr>
        <w:br w:type="page"/>
      </w:r>
    </w:p>
    <w:tbl>
      <w:tblPr>
        <w:tblStyle w:val="3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偏差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不允许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□允许，偏差范围：/</w:t>
            </w:r>
          </w:p>
          <w:p>
            <w:pPr>
              <w:pStyle w:val="5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 xml:space="preserve">   最高项数：/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构成比选通知书的其他资料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见采购公告。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供应商提出问题或要求澄清比选通知书的截止时间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提交响应文件截止时间3个工作日前，由供应商的被授权人提交书面材料（盖供应商公章）。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在提交响应文件截止时间前3个工作日内，采购人不再受理供应商提出的问题。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比选通知书澄清、修改发出的形式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询价通知书的澄清、修改将在政府公开网（    ）和局官网（  ）公开。对于各项目中已经成功报名并收到询价通知书的供应商，将通过第三方短信群发方式提醒供应商进行查询。如不以最新发布的“答疑文件”编制响应文件，造成响应无效的后果由供应商自己承担。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构成响应文件的其他资料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见采购公告。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报价方式</w:t>
            </w:r>
          </w:p>
        </w:tc>
        <w:tc>
          <w:tcPr>
            <w:tcW w:w="7076" w:type="dxa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（单价、总价、折扣、优惠率）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预算控制金额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预算控制金额      万元。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供应商报价超过本预算的，其响应将被否决。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报价的其他</w:t>
            </w:r>
          </w:p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要求</w:t>
            </w:r>
          </w:p>
        </w:tc>
        <w:tc>
          <w:tcPr>
            <w:tcW w:w="7076" w:type="dxa"/>
          </w:tcPr>
          <w:p>
            <w:pPr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报价应包含为完成本项目所需要的全部费用和税金。</w:t>
            </w:r>
          </w:p>
          <w:p>
            <w:pPr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其他：/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比选保证金</w:t>
            </w:r>
          </w:p>
        </w:tc>
        <w:tc>
          <w:tcPr>
            <w:tcW w:w="7076" w:type="dxa"/>
            <w:vAlign w:val="center"/>
          </w:tcPr>
          <w:p>
            <w:pPr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本次采购免收保证金。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其他可以不予退还比选保证金的情形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资格审查资料的特殊要求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 w:cs="MS Gothic"/>
                <w:spacing w:val="14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无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 w:cs="MS Gothic"/>
                <w:spacing w:val="14"/>
                <w:szCs w:val="21"/>
              </w:rPr>
              <w:t>□</w:t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有，具体要求：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是否允许提交备选方案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MS Gothic" w:hAnsi="MS Gothic" w:eastAsia="宋体" w:cs="MS Gothic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不允许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 w:cs="MS Gothic"/>
                <w:spacing w:val="14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封套上的密封和标记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未加密的电子响应文件（U盘介质）密封包装，注明项目名称，并在封套上加盖供应商单位公章或由供应商的法定代表人（单位负责人）或其授权的代理人签字。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提交响应文件截止时间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见采购公告。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提交响应文件地点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见采购公告。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响应文件份数及其他要求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1、加密的电子响应文件一份（*.lytf 格式）；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2、未加密的电子响应文件U盘一份（*.nlytf格式）。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响应文件上传问题联系方式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0314-2022980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响应文件是否退还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未加密的电子响应文件（U盘）评审结束后退还。</w:t>
            </w:r>
          </w:p>
        </w:tc>
      </w:tr>
    </w:tbl>
    <w:p>
      <w:pPr>
        <w:rPr>
          <w:rFonts w:ascii="仿宋" w:hAnsi="仿宋" w:eastAsia="仿宋"/>
          <w:spacing w:val="14"/>
          <w:sz w:val="21"/>
          <w:szCs w:val="21"/>
        </w:rPr>
      </w:pPr>
    </w:p>
    <w:tbl>
      <w:tblPr>
        <w:tblStyle w:val="3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比选开启时间和地点</w:t>
            </w:r>
          </w:p>
        </w:tc>
        <w:tc>
          <w:tcPr>
            <w:tcW w:w="7076" w:type="dxa"/>
            <w:vAlign w:val="center"/>
          </w:tcPr>
          <w:p>
            <w:pPr>
              <w:jc w:val="left"/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开启时间：同提交响应文件截止时间</w:t>
            </w:r>
          </w:p>
          <w:p>
            <w:pPr>
              <w:jc w:val="left"/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开启地点：同提交响应文件地点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比选小组的组建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比选小组构成：</w:t>
            </w:r>
            <w:r>
              <w:rPr>
                <w:rFonts w:hint="eastAsia" w:ascii="仿宋" w:hAnsi="仿宋" w:eastAsia="仿宋"/>
                <w:spacing w:val="14"/>
                <w:szCs w:val="21"/>
                <w:u w:val="single" w:color="000000"/>
              </w:rPr>
              <w:t xml:space="preserve">  </w:t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人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 xml:space="preserve">其中采购人代表 </w:t>
            </w:r>
            <w:r>
              <w:rPr>
                <w:rFonts w:hint="eastAsia" w:ascii="仿宋" w:hAnsi="仿宋" w:eastAsia="仿宋"/>
                <w:spacing w:val="14"/>
                <w:szCs w:val="21"/>
                <w:u w:val="single" w:color="000000"/>
              </w:rPr>
              <w:t xml:space="preserve">  </w:t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人，专家</w:t>
            </w:r>
            <w:r>
              <w:rPr>
                <w:rFonts w:hint="eastAsia" w:ascii="仿宋" w:hAnsi="仿宋" w:eastAsia="仿宋"/>
                <w:spacing w:val="14"/>
                <w:szCs w:val="21"/>
                <w:u w:val="single" w:color="000000"/>
              </w:rPr>
              <w:t xml:space="preserve">  </w:t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比选小组推荐成交候选人的人数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  <w:u w:val="single" w:color="000000"/>
              </w:rPr>
              <w:t xml:space="preserve">   </w:t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名/包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是否授权询价小组确定成交供应商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MS Gothic" w:hAnsi="MS Gothic" w:eastAsia="宋体" w:cs="MS Gothic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是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 w:cs="MS Gothic"/>
                <w:spacing w:val="14"/>
                <w:szCs w:val="21"/>
              </w:rPr>
              <w:t>□</w:t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确定成交的原则</w:t>
            </w:r>
          </w:p>
        </w:tc>
        <w:tc>
          <w:tcPr>
            <w:tcW w:w="7076" w:type="dxa"/>
            <w:vAlign w:val="center"/>
          </w:tcPr>
          <w:p>
            <w:pPr>
              <w:jc w:val="left"/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比选小组根据评审排列顺序确定第一名、第二名、第三名为成交候选人，并确定第一名为成交供应商。如成交候选人出现并列，由询价小组投票确定成交供应商。</w:t>
            </w:r>
          </w:p>
          <w:p>
            <w:pPr>
              <w:jc w:val="left"/>
              <w:rPr>
                <w:rFonts w:ascii="仿宋" w:hAnsi="仿宋" w:eastAsia="仿宋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成交结果公布媒介及期限</w:t>
            </w:r>
          </w:p>
        </w:tc>
        <w:tc>
          <w:tcPr>
            <w:tcW w:w="7076" w:type="dxa"/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公布媒介：承德市政务公开网（  ）和承德市旅文广局官网（  ）上公布。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公告期限：1个工作日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履约保证金</w:t>
            </w:r>
          </w:p>
        </w:tc>
        <w:tc>
          <w:tcPr>
            <w:tcW w:w="7076" w:type="dxa"/>
            <w:vAlign w:val="center"/>
          </w:tcPr>
          <w:p>
            <w:pPr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 w:cs="MS Gothic"/>
                <w:spacing w:val="14"/>
                <w:szCs w:val="21"/>
              </w:rPr>
              <w:t>□</w:t>
            </w: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履约保证金按成交金额的10%收取，成交供应商以转账或银行保函的形式向采购人提交。</w:t>
            </w:r>
          </w:p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 w:cs="MS Gothic"/>
                <w:spacing w:val="14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pacing w:val="14"/>
                <w:szCs w:val="21"/>
              </w:rPr>
              <w:t>免收履约保证金。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83" w:type="dxa"/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质疑函的递交方式</w:t>
            </w:r>
          </w:p>
        </w:tc>
        <w:tc>
          <w:tcPr>
            <w:tcW w:w="7076" w:type="dxa"/>
            <w:vAlign w:val="center"/>
          </w:tcPr>
          <w:p>
            <w:pPr>
              <w:rPr>
                <w:rFonts w:ascii="仿宋" w:hAnsi="仿宋" w:eastAsia="仿宋"/>
                <w:spacing w:val="1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 w:val="21"/>
                <w:szCs w:val="21"/>
              </w:rPr>
              <w:t>质疑函应当面递交；因情况特殊而邮寄的，交邮前应通知采购人。接受质疑函的采购人的联系部门、联系电话和通讯地址详见本项目采购公告。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/>
              <w:jc w:val="center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需要补充的其他内容</w:t>
            </w:r>
          </w:p>
        </w:tc>
        <w:tc>
          <w:tcPr>
            <w:tcW w:w="7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/>
              <w:rPr>
                <w:rFonts w:ascii="仿宋" w:hAnsi="仿宋" w:eastAsia="仿宋"/>
                <w:spacing w:val="14"/>
                <w:szCs w:val="21"/>
              </w:rPr>
            </w:pPr>
            <w:r>
              <w:rPr>
                <w:rFonts w:hint="eastAsia" w:ascii="仿宋" w:hAnsi="仿宋" w:eastAsia="仿宋"/>
                <w:spacing w:val="14"/>
                <w:szCs w:val="21"/>
              </w:rPr>
              <w:t>监督部门及电话：承德市旅文广局机关纪委   0314-2026365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4322F"/>
    <w:rsid w:val="007C203D"/>
    <w:rsid w:val="009E4279"/>
    <w:rsid w:val="00FE7EEC"/>
    <w:rsid w:val="023A36CE"/>
    <w:rsid w:val="223B5803"/>
    <w:rsid w:val="2DC54818"/>
    <w:rsid w:val="5B5715D7"/>
    <w:rsid w:val="5CB4322F"/>
    <w:rsid w:val="65F65F9E"/>
    <w:rsid w:val="6B222ACC"/>
    <w:rsid w:val="76DFA03A"/>
    <w:rsid w:val="793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jc w:val="center"/>
      <w:outlineLvl w:val="0"/>
    </w:pPr>
    <w:rPr>
      <w:rFonts w:ascii="Cambria" w:hAnsi="Cambria" w:eastAsia="微软雅黑"/>
      <w:b/>
      <w:bCs/>
      <w:kern w:val="28"/>
      <w:sz w:val="44"/>
      <w:lang w:eastAsia="en-US" w:bidi="en-US"/>
    </w:rPr>
  </w:style>
  <w:style w:type="paragraph" w:customStyle="1" w:styleId="5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272</Words>
  <Characters>1553</Characters>
  <Lines>12</Lines>
  <Paragraphs>3</Paragraphs>
  <TotalTime>17</TotalTime>
  <ScaleCrop>false</ScaleCrop>
  <LinksUpToDate>false</LinksUpToDate>
  <CharactersWithSpaces>1822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2021-03-20T08:58:00Z</dcterms:created>
  <dc:creator>Administrator</dc:creator>
  <cp:lastModifiedBy>Administrator</cp:lastModifiedBy>
  <cp:lastPrinted>2021-03-20T10:49:00Z</cp:lastPrinted>
  <dcterms:modified xsi:type="dcterms:W3CDTF">2021-03-31T02:00:32Z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27809BA4AB4B47D095E75AE8BC3A2DE3</vt:lpwstr>
  </property>
</Properties>
</file>