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cs="Times New Roman" w:asciiTheme="majorEastAsia" w:hAnsiTheme="majorEastAsia" w:eastAsiaTheme="majorEastAsia"/>
          <w:b/>
          <w:sz w:val="44"/>
          <w:szCs w:val="44"/>
        </w:rPr>
      </w:pPr>
      <w:r>
        <w:rPr>
          <w:rFonts w:hint="eastAsia" w:cs="Times New Roman" w:asciiTheme="majorEastAsia" w:hAnsiTheme="majorEastAsia" w:eastAsiaTheme="majorEastAsia"/>
          <w:b/>
          <w:sz w:val="44"/>
          <w:szCs w:val="44"/>
        </w:rPr>
        <w:t>承德市旅游和文化广电局</w:t>
      </w:r>
    </w:p>
    <w:p>
      <w:pPr>
        <w:spacing w:line="560" w:lineRule="exact"/>
        <w:jc w:val="center"/>
        <w:rPr>
          <w:rFonts w:cs="Times New Roman" w:asciiTheme="majorEastAsia" w:hAnsiTheme="majorEastAsia" w:eastAsiaTheme="majorEastAsia"/>
          <w:b/>
          <w:sz w:val="10"/>
          <w:szCs w:val="10"/>
        </w:rPr>
      </w:pPr>
      <w:r>
        <w:rPr>
          <w:rFonts w:cs="Times New Roman" w:asciiTheme="majorEastAsia" w:hAnsiTheme="majorEastAsia" w:eastAsiaTheme="majorEastAsia"/>
          <w:b/>
          <w:sz w:val="44"/>
          <w:szCs w:val="44"/>
        </w:rPr>
        <w:t>20</w:t>
      </w:r>
      <w:r>
        <w:rPr>
          <w:rFonts w:hint="eastAsia" w:cs="Times New Roman" w:asciiTheme="majorEastAsia" w:hAnsiTheme="majorEastAsia" w:eastAsiaTheme="majorEastAsia"/>
          <w:b/>
          <w:sz w:val="44"/>
          <w:szCs w:val="44"/>
        </w:rPr>
        <w:t>20年部门预算信息公开</w:t>
      </w:r>
    </w:p>
    <w:p>
      <w:pPr>
        <w:spacing w:line="560" w:lineRule="exact"/>
        <w:jc w:val="center"/>
        <w:rPr>
          <w:rFonts w:ascii="仿宋" w:hAnsi="仿宋" w:eastAsia="仿宋" w:cs="Times New Roman"/>
          <w:b/>
          <w:sz w:val="10"/>
          <w:szCs w:val="10"/>
        </w:rPr>
      </w:pP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按照《中华人民共和国预算法》、《地方预决算公开操作规程》和《河北省省级预算公开办法》规定，根据财政局</w:t>
      </w:r>
      <w:r>
        <w:rPr>
          <w:rFonts w:ascii="仿宋" w:hAnsi="仿宋" w:eastAsia="仿宋" w:cs="Times New Roman"/>
          <w:sz w:val="32"/>
          <w:szCs w:val="32"/>
        </w:rPr>
        <w:t>20</w:t>
      </w:r>
      <w:r>
        <w:rPr>
          <w:rFonts w:hint="eastAsia" w:ascii="仿宋" w:hAnsi="仿宋" w:eastAsia="仿宋" w:cs="Times New Roman"/>
          <w:sz w:val="32"/>
          <w:szCs w:val="32"/>
        </w:rPr>
        <w:t>20年</w:t>
      </w:r>
      <w:r>
        <w:rPr>
          <w:rFonts w:ascii="仿宋" w:hAnsi="仿宋" w:eastAsia="仿宋" w:cs="Times New Roman"/>
          <w:sz w:val="32"/>
          <w:szCs w:val="32"/>
        </w:rPr>
        <w:t>2</w:t>
      </w:r>
      <w:r>
        <w:rPr>
          <w:rFonts w:hint="eastAsia" w:ascii="仿宋" w:hAnsi="仿宋" w:eastAsia="仿宋" w:cs="Times New Roman"/>
          <w:sz w:val="32"/>
          <w:szCs w:val="32"/>
        </w:rPr>
        <w:t>月5日批复的《承德市财政局关于批复</w:t>
      </w:r>
      <w:r>
        <w:rPr>
          <w:rFonts w:ascii="仿宋" w:hAnsi="仿宋" w:eastAsia="仿宋" w:cs="Times New Roman"/>
          <w:sz w:val="32"/>
          <w:szCs w:val="32"/>
        </w:rPr>
        <w:t>20</w:t>
      </w:r>
      <w:r>
        <w:rPr>
          <w:rFonts w:hint="eastAsia" w:ascii="仿宋" w:hAnsi="仿宋" w:eastAsia="仿宋" w:cs="Times New Roman"/>
          <w:sz w:val="32"/>
          <w:szCs w:val="32"/>
        </w:rPr>
        <w:t>20年市本级部门收支预算的通知》（承财预</w:t>
      </w:r>
      <w:r>
        <w:rPr>
          <w:rFonts w:ascii="仿宋" w:hAnsi="仿宋" w:eastAsia="仿宋" w:cs="Times New Roman"/>
          <w:sz w:val="32"/>
          <w:szCs w:val="32"/>
        </w:rPr>
        <w:t>[20</w:t>
      </w:r>
      <w:r>
        <w:rPr>
          <w:rFonts w:hint="eastAsia" w:ascii="仿宋" w:hAnsi="仿宋" w:eastAsia="仿宋" w:cs="Times New Roman"/>
          <w:sz w:val="32"/>
          <w:szCs w:val="32"/>
        </w:rPr>
        <w:t>20</w:t>
      </w:r>
      <w:r>
        <w:rPr>
          <w:rFonts w:ascii="仿宋" w:hAnsi="仿宋" w:eastAsia="仿宋" w:cs="Times New Roman"/>
          <w:sz w:val="32"/>
          <w:szCs w:val="32"/>
        </w:rPr>
        <w:t>]1</w:t>
      </w:r>
      <w:r>
        <w:rPr>
          <w:rFonts w:hint="eastAsia" w:ascii="仿宋" w:hAnsi="仿宋" w:eastAsia="仿宋" w:cs="Times New Roman"/>
          <w:sz w:val="32"/>
          <w:szCs w:val="32"/>
        </w:rPr>
        <w:t>1号文件要求，现将</w:t>
      </w:r>
      <w:r>
        <w:rPr>
          <w:rFonts w:ascii="仿宋" w:hAnsi="仿宋" w:eastAsia="仿宋" w:cs="Times New Roman"/>
          <w:sz w:val="32"/>
          <w:szCs w:val="32"/>
        </w:rPr>
        <w:t>20</w:t>
      </w:r>
      <w:r>
        <w:rPr>
          <w:rFonts w:hint="eastAsia" w:ascii="仿宋" w:hAnsi="仿宋" w:eastAsia="仿宋" w:cs="Times New Roman"/>
          <w:sz w:val="32"/>
          <w:szCs w:val="32"/>
        </w:rPr>
        <w:t>20年部门预算公开如下：</w:t>
      </w:r>
    </w:p>
    <w:p>
      <w:pPr>
        <w:spacing w:line="600" w:lineRule="exact"/>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spacing w:line="600" w:lineRule="exact"/>
        <w:ind w:firstLine="643" w:firstLineChars="200"/>
        <w:jc w:val="left"/>
        <w:rPr>
          <w:rFonts w:ascii="黑体" w:hAnsi="黑体" w:eastAsia="黑体"/>
          <w:b/>
          <w:sz w:val="32"/>
          <w:szCs w:val="32"/>
        </w:rPr>
      </w:pPr>
      <w:r>
        <w:rPr>
          <w:rFonts w:hint="eastAsia" w:ascii="黑体" w:hAnsi="黑体" w:eastAsia="黑体"/>
          <w:b/>
          <w:sz w:val="32"/>
          <w:szCs w:val="32"/>
        </w:rPr>
        <w:t>部门职责：</w:t>
      </w:r>
    </w:p>
    <w:p>
      <w:pPr>
        <w:spacing w:line="600" w:lineRule="exact"/>
        <w:ind w:firstLine="640" w:firstLineChars="200"/>
        <w:jc w:val="left"/>
        <w:rPr>
          <w:rFonts w:ascii="仿宋" w:hAnsi="仿宋" w:eastAsia="仿宋"/>
          <w:sz w:val="32"/>
          <w:szCs w:val="32"/>
        </w:rPr>
      </w:pPr>
      <w:r>
        <w:rPr>
          <w:rFonts w:ascii="仿宋" w:hAnsi="仿宋" w:eastAsia="仿宋"/>
          <w:sz w:val="32"/>
          <w:szCs w:val="32"/>
        </w:rPr>
        <w:t>（一）贯彻执行党、国家和省旅游和文化工作方针政策和法律法规。研究拟订全市旅游和文化政策措施，起草全市旅游和文化政府规章草案;贯彻落实党的宣传、创作方针政策，加强广播电视阵地管理，把握正确的舆论导向和创作导向,起草全市广播电视和网络视听节目服务管理的政府规章草案。</w:t>
      </w:r>
    </w:p>
    <w:p>
      <w:pPr>
        <w:spacing w:line="600" w:lineRule="exact"/>
        <w:ind w:firstLine="640" w:firstLineChars="200"/>
        <w:jc w:val="left"/>
        <w:rPr>
          <w:rFonts w:ascii="仿宋" w:hAnsi="仿宋" w:eastAsia="仿宋"/>
          <w:sz w:val="32"/>
          <w:szCs w:val="32"/>
        </w:rPr>
      </w:pPr>
      <w:r>
        <w:rPr>
          <w:rFonts w:ascii="仿宋" w:hAnsi="仿宋" w:eastAsia="仿宋"/>
          <w:sz w:val="32"/>
          <w:szCs w:val="32"/>
        </w:rPr>
        <w:t>（二）拟订全市旅游、文化、广播电视事业和产业发展规划并组织实施。推进旅游和文化融合发展，推进旅游、文化、广播电视领域体制机制改革，指导全市旅游、文化、广播电视、网络视听行业人才队伍建设。</w:t>
      </w:r>
    </w:p>
    <w:p>
      <w:pPr>
        <w:spacing w:line="600" w:lineRule="exact"/>
        <w:ind w:firstLine="640" w:firstLineChars="200"/>
        <w:jc w:val="left"/>
        <w:rPr>
          <w:rFonts w:ascii="仿宋" w:hAnsi="仿宋" w:eastAsia="仿宋"/>
          <w:sz w:val="32"/>
          <w:szCs w:val="32"/>
        </w:rPr>
      </w:pPr>
      <w:r>
        <w:rPr>
          <w:rFonts w:ascii="仿宋" w:hAnsi="仿宋" w:eastAsia="仿宋"/>
          <w:sz w:val="32"/>
          <w:szCs w:val="32"/>
        </w:rPr>
        <w:t>（三）管理全市性重大旅游、文化、广播电视活动。指导和监管全市旅游、文化、广播电视重点基础设施建设，组织承德市旅游整体形象推广，促进旅游产业和文化产业对外合作和国际市场推广，制定全市旅游市场开发营销战略并组织实施，指导、推进全域旅游。</w:t>
      </w:r>
    </w:p>
    <w:p>
      <w:pPr>
        <w:spacing w:line="600" w:lineRule="exact"/>
        <w:ind w:firstLine="640" w:firstLineChars="200"/>
        <w:jc w:val="left"/>
        <w:rPr>
          <w:rFonts w:ascii="仿宋" w:hAnsi="仿宋" w:eastAsia="仿宋"/>
          <w:sz w:val="32"/>
          <w:szCs w:val="32"/>
        </w:rPr>
      </w:pPr>
      <w:r>
        <w:rPr>
          <w:rFonts w:ascii="仿宋" w:hAnsi="仿宋" w:eastAsia="仿宋"/>
          <w:sz w:val="32"/>
          <w:szCs w:val="32"/>
        </w:rPr>
        <w:t>（四）指导、管理全市文艺事业。指导艺术创作生产，扶持体现社会主义核心价值观、具有导向性代表性示范性的文艺作品，推动全市各门类艺术、各艺术品种发展。</w:t>
      </w:r>
    </w:p>
    <w:p>
      <w:pPr>
        <w:spacing w:line="600" w:lineRule="exact"/>
        <w:ind w:firstLine="640" w:firstLineChars="200"/>
        <w:jc w:val="left"/>
        <w:rPr>
          <w:rFonts w:ascii="仿宋" w:hAnsi="仿宋" w:eastAsia="仿宋"/>
          <w:sz w:val="32"/>
          <w:szCs w:val="32"/>
        </w:rPr>
      </w:pPr>
      <w:r>
        <w:rPr>
          <w:rFonts w:ascii="仿宋" w:hAnsi="仿宋" w:eastAsia="仿宋"/>
          <w:sz w:val="32"/>
          <w:szCs w:val="32"/>
        </w:rPr>
        <w:t>（五）负责全市公共文化事业发展。推进全市公共文化服务体系、旅游公共服务体系、广播电视公共服务体系建设，深入实施文化惠民工程，统筹推进全市基本公共文化服务标准化、均等化。组织实施全市广播电视公共服务重大公益工程和公益活动，扶助边贫地区广播电视建设和发展。</w:t>
      </w:r>
    </w:p>
    <w:p>
      <w:pPr>
        <w:spacing w:line="600" w:lineRule="exact"/>
        <w:ind w:firstLine="640" w:firstLineChars="200"/>
        <w:jc w:val="left"/>
        <w:rPr>
          <w:rFonts w:ascii="仿宋" w:hAnsi="仿宋" w:eastAsia="仿宋"/>
          <w:sz w:val="32"/>
          <w:szCs w:val="32"/>
        </w:rPr>
      </w:pPr>
      <w:r>
        <w:rPr>
          <w:rFonts w:ascii="仿宋" w:hAnsi="仿宋" w:eastAsia="仿宋"/>
          <w:sz w:val="32"/>
          <w:szCs w:val="32"/>
        </w:rPr>
        <w:t>（六）指导、推进全市旅游和文化科技创新发展，推进旅游和文化行业信息化、标准化建设。</w:t>
      </w:r>
    </w:p>
    <w:p>
      <w:pPr>
        <w:spacing w:line="600" w:lineRule="exact"/>
        <w:ind w:firstLine="640" w:firstLineChars="200"/>
        <w:jc w:val="left"/>
        <w:rPr>
          <w:rFonts w:ascii="仿宋" w:hAnsi="仿宋" w:eastAsia="仿宋"/>
          <w:sz w:val="32"/>
          <w:szCs w:val="32"/>
        </w:rPr>
      </w:pPr>
      <w:r>
        <w:rPr>
          <w:rFonts w:ascii="仿宋" w:hAnsi="仿宋" w:eastAsia="仿宋"/>
          <w:sz w:val="32"/>
          <w:szCs w:val="32"/>
        </w:rPr>
        <w:t>（七）负责全市非物质文化遗产保护，推动非物质文化遗产的保护、传承、普及、弘扬和振兴。</w:t>
      </w:r>
    </w:p>
    <w:p>
      <w:pPr>
        <w:spacing w:line="600" w:lineRule="exact"/>
        <w:ind w:firstLine="640" w:firstLineChars="200"/>
        <w:jc w:val="left"/>
        <w:rPr>
          <w:rFonts w:ascii="仿宋" w:hAnsi="仿宋" w:eastAsia="仿宋"/>
          <w:sz w:val="32"/>
          <w:szCs w:val="32"/>
        </w:rPr>
      </w:pPr>
      <w:r>
        <w:rPr>
          <w:rFonts w:ascii="仿宋" w:hAnsi="仿宋" w:eastAsia="仿宋"/>
          <w:sz w:val="32"/>
          <w:szCs w:val="32"/>
        </w:rPr>
        <w:t>（八）统筹规划全市旅游、文化、广播电视产业。组织实施旅游和文化资源普查、挖掘、保护和利用工作，促进文化产业发展;负责旅游、文化、广播电视广播电视统计工作。</w:t>
      </w:r>
    </w:p>
    <w:p>
      <w:pPr>
        <w:spacing w:line="600" w:lineRule="exact"/>
        <w:ind w:firstLine="640" w:firstLineChars="200"/>
        <w:jc w:val="left"/>
        <w:rPr>
          <w:rFonts w:ascii="仿宋" w:hAnsi="仿宋" w:eastAsia="仿宋"/>
          <w:sz w:val="32"/>
          <w:szCs w:val="32"/>
        </w:rPr>
      </w:pPr>
      <w:r>
        <w:rPr>
          <w:rFonts w:ascii="仿宋" w:hAnsi="仿宋" w:eastAsia="仿宋"/>
          <w:sz w:val="32"/>
          <w:szCs w:val="32"/>
        </w:rPr>
        <w:t>（九）指导全市旅游、文化、广播电视市场发展。对旅游和文化市场经营进行行业监管，推进全市旅游和文化行业信用体系建设;对全市各类广播电视机构进行业务指导和行业监管，会同有关部门对全市网络视听节目服务机构进行管理，依法规范旅游、文化、广播电视市场。</w:t>
      </w:r>
    </w:p>
    <w:p>
      <w:pPr>
        <w:spacing w:line="600" w:lineRule="exact"/>
        <w:ind w:firstLine="640" w:firstLineChars="200"/>
        <w:jc w:val="left"/>
        <w:rPr>
          <w:rFonts w:ascii="仿宋" w:hAnsi="仿宋" w:eastAsia="仿宋"/>
          <w:sz w:val="32"/>
          <w:szCs w:val="32"/>
        </w:rPr>
      </w:pPr>
      <w:r>
        <w:rPr>
          <w:rFonts w:ascii="仿宋" w:hAnsi="仿宋" w:eastAsia="仿宋"/>
          <w:sz w:val="32"/>
          <w:szCs w:val="32"/>
        </w:rPr>
        <w:t>（十）指导全市电视剧行业发展和电视剧创作生产，监管全市广播电视节目、网络视听节目和公共视听载体播放的视听节目，审查其内容和质量，指导、监管全市广播电视广告播放。</w:t>
      </w:r>
    </w:p>
    <w:p>
      <w:pPr>
        <w:spacing w:line="600" w:lineRule="exact"/>
        <w:ind w:firstLine="640" w:firstLineChars="200"/>
        <w:jc w:val="left"/>
        <w:rPr>
          <w:rFonts w:ascii="仿宋" w:hAnsi="仿宋" w:eastAsia="仿宋"/>
          <w:sz w:val="32"/>
          <w:szCs w:val="32"/>
        </w:rPr>
      </w:pPr>
      <w:r>
        <w:rPr>
          <w:rFonts w:ascii="仿宋" w:hAnsi="仿宋" w:eastAsia="仿宋"/>
          <w:sz w:val="32"/>
          <w:szCs w:val="32"/>
        </w:rPr>
        <w:t>（十一）负责推进广播电视与新媒体新技术新业态融合发展，推进广播电视网与电信网、互联网三网融合，促进智慧广播电视发展。</w:t>
      </w:r>
    </w:p>
    <w:p>
      <w:pPr>
        <w:spacing w:line="600" w:lineRule="exact"/>
        <w:ind w:firstLine="640" w:firstLineChars="200"/>
        <w:jc w:val="left"/>
        <w:rPr>
          <w:rFonts w:ascii="仿宋" w:hAnsi="仿宋" w:eastAsia="仿宋"/>
          <w:sz w:val="32"/>
          <w:szCs w:val="32"/>
        </w:rPr>
      </w:pPr>
      <w:r>
        <w:rPr>
          <w:rFonts w:ascii="仿宋" w:hAnsi="仿宋" w:eastAsia="仿宋"/>
          <w:sz w:val="32"/>
          <w:szCs w:val="32"/>
        </w:rPr>
        <w:t>（十二）负责拟订全市广播电视科技发展规划、政策并组织实施和监督检查。对广播电视节目传输覆盖、监听、监看、监测的监管，推进全市应急广播体系建设，监管协调调度全市广播电视安全播出；承担全市广播电视安全播出指挥部日常工作，指导、协调全市广播电视系统安全和保卫工作。</w:t>
      </w:r>
    </w:p>
    <w:p>
      <w:pPr>
        <w:spacing w:line="600" w:lineRule="exact"/>
        <w:ind w:firstLine="640" w:firstLineChars="200"/>
        <w:jc w:val="left"/>
        <w:rPr>
          <w:rFonts w:ascii="仿宋" w:hAnsi="仿宋" w:eastAsia="仿宋"/>
          <w:sz w:val="32"/>
          <w:szCs w:val="32"/>
        </w:rPr>
      </w:pPr>
      <w:r>
        <w:rPr>
          <w:rFonts w:ascii="仿宋" w:hAnsi="仿宋" w:eastAsia="仿宋"/>
          <w:sz w:val="32"/>
          <w:szCs w:val="32"/>
        </w:rPr>
        <w:t>（十三）指导全市文化市场综合执法。组织查处全市性、跨区域文化、出版、广播电视、电影、旅游等市场的违法行为，督查督办大案要案，维护市场秩序。</w:t>
      </w:r>
    </w:p>
    <w:p>
      <w:pPr>
        <w:spacing w:line="600" w:lineRule="exact"/>
        <w:ind w:firstLine="640" w:firstLineChars="200"/>
        <w:rPr>
          <w:rFonts w:ascii="仿宋" w:hAnsi="仿宋" w:eastAsia="仿宋"/>
          <w:sz w:val="32"/>
          <w:szCs w:val="32"/>
        </w:rPr>
      </w:pPr>
      <w:r>
        <w:rPr>
          <w:rFonts w:ascii="仿宋" w:hAnsi="仿宋" w:eastAsia="仿宋"/>
          <w:sz w:val="32"/>
          <w:szCs w:val="32"/>
        </w:rPr>
        <w:t>（十四）指导、管理全市旅游、文化、广播电视领域对外及港澳台交流、合作和宣传、推广工作。代表市政府签订对外旅游和文化合作协定，组织大型旅游和文化对外及港澳台交流活动，推动中华文化、承德特色文化、广播电视领域走出去工作。</w:t>
      </w:r>
    </w:p>
    <w:p>
      <w:pPr>
        <w:spacing w:line="600" w:lineRule="exact"/>
        <w:ind w:firstLine="643" w:firstLineChars="200"/>
        <w:rPr>
          <w:rStyle w:val="11"/>
          <w:rFonts w:ascii="黑体" w:hAnsi="黑体" w:eastAsia="黑体"/>
          <w:color w:val="2B2B2B"/>
          <w:sz w:val="32"/>
          <w:szCs w:val="32"/>
        </w:rPr>
      </w:pPr>
      <w:r>
        <w:rPr>
          <w:rStyle w:val="11"/>
          <w:rFonts w:hint="eastAsia" w:ascii="黑体" w:hAnsi="黑体" w:eastAsia="黑体"/>
          <w:color w:val="2B2B2B"/>
          <w:sz w:val="32"/>
          <w:szCs w:val="32"/>
        </w:rPr>
        <w:t>机构设置：</w:t>
      </w:r>
    </w:p>
    <w:p>
      <w:pPr>
        <w:jc w:val="center"/>
        <w:outlineLvl w:val="0"/>
        <w:rPr>
          <w:rFonts w:ascii="黑体" w:hAnsi="黑体" w:eastAsia="黑体"/>
          <w:sz w:val="32"/>
        </w:rPr>
      </w:pPr>
      <w:r>
        <w:rPr>
          <w:rFonts w:hint="eastAsia" w:ascii="黑体" w:hAnsi="黑体" w:eastAsia="黑体" w:cs="Times New Roman"/>
          <w:sz w:val="32"/>
          <w:szCs w:val="32"/>
        </w:rPr>
        <w:t>部门</w:t>
      </w:r>
      <w:r>
        <w:rPr>
          <w:rFonts w:ascii="黑体" w:hAnsi="黑体" w:eastAsia="黑体" w:cs="Times New Roman"/>
          <w:sz w:val="32"/>
          <w:szCs w:val="32"/>
        </w:rPr>
        <w:t>机构设置</w:t>
      </w:r>
      <w:r>
        <w:rPr>
          <w:rFonts w:hint="eastAsia" w:ascii="黑体" w:hAnsi="黑体" w:eastAsia="黑体"/>
          <w:sz w:val="32"/>
        </w:rPr>
        <w:t>情况</w:t>
      </w:r>
    </w:p>
    <w:tbl>
      <w:tblPr>
        <w:tblStyle w:val="9"/>
        <w:tblW w:w="97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31"/>
        <w:gridCol w:w="1820"/>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31" w:type="dxa"/>
            <w:vMerge w:val="restart"/>
            <w:vAlign w:val="center"/>
          </w:tcPr>
          <w:p>
            <w:pPr>
              <w:spacing w:line="300" w:lineRule="exact"/>
              <w:jc w:val="center"/>
              <w:rPr>
                <w:rFonts w:eastAsia="方正书宋_GBK"/>
                <w:b/>
              </w:rPr>
            </w:pPr>
            <w:r>
              <w:rPr>
                <w:rFonts w:hint="eastAsia" w:eastAsia="方正书宋_GBK"/>
                <w:b/>
              </w:rPr>
              <w:t>单位名称</w:t>
            </w:r>
          </w:p>
        </w:tc>
        <w:tc>
          <w:tcPr>
            <w:tcW w:w="1820" w:type="dxa"/>
            <w:vMerge w:val="restart"/>
            <w:vAlign w:val="center"/>
          </w:tcPr>
          <w:p>
            <w:pPr>
              <w:spacing w:line="300" w:lineRule="exact"/>
              <w:jc w:val="center"/>
              <w:rPr>
                <w:rFonts w:eastAsia="方正书宋_GBK"/>
                <w:b/>
              </w:rPr>
            </w:pPr>
            <w:r>
              <w:rPr>
                <w:rFonts w:hint="eastAsia" w:eastAsia="方正书宋_GBK"/>
                <w:b/>
              </w:rPr>
              <w:t>单位性质</w:t>
            </w:r>
          </w:p>
        </w:tc>
        <w:tc>
          <w:tcPr>
            <w:tcW w:w="1276" w:type="dxa"/>
            <w:vMerge w:val="restart"/>
            <w:vAlign w:val="center"/>
          </w:tcPr>
          <w:p>
            <w:pPr>
              <w:spacing w:line="300" w:lineRule="exact"/>
              <w:jc w:val="center"/>
              <w:rPr>
                <w:rFonts w:eastAsia="方正书宋_GBK"/>
                <w:b/>
              </w:rPr>
            </w:pPr>
            <w:r>
              <w:rPr>
                <w:rFonts w:hint="eastAsia" w:eastAsia="方正书宋_GBK"/>
                <w:b/>
              </w:rPr>
              <w:t>单位规格</w:t>
            </w:r>
          </w:p>
        </w:tc>
        <w:tc>
          <w:tcPr>
            <w:tcW w:w="2902" w:type="dxa"/>
            <w:vMerge w:val="restart"/>
            <w:vAlign w:val="center"/>
          </w:tcPr>
          <w:p>
            <w:pPr>
              <w:spacing w:line="300" w:lineRule="exact"/>
              <w:jc w:val="center"/>
              <w:rPr>
                <w:rFonts w:eastAsia="方正书宋_GBK"/>
                <w:b/>
              </w:rPr>
            </w:pPr>
            <w:r>
              <w:rPr>
                <w:rFonts w:hint="eastAsia"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31" w:type="dxa"/>
            <w:vMerge w:val="continue"/>
            <w:vAlign w:val="center"/>
          </w:tcPr>
          <w:p>
            <w:pPr>
              <w:spacing w:line="300" w:lineRule="exact"/>
              <w:jc w:val="left"/>
              <w:outlineLvl w:val="0"/>
            </w:pPr>
          </w:p>
        </w:tc>
        <w:tc>
          <w:tcPr>
            <w:tcW w:w="1820"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02" w:type="dxa"/>
            <w:vMerge w:val="continue"/>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31" w:type="dxa"/>
            <w:vAlign w:val="center"/>
          </w:tcPr>
          <w:p>
            <w:pPr>
              <w:spacing w:line="300" w:lineRule="exact"/>
              <w:jc w:val="left"/>
              <w:rPr>
                <w:rFonts w:asciiTheme="minorEastAsia" w:hAnsiTheme="minorEastAsia" w:eastAsiaTheme="minorEastAsia"/>
                <w:szCs w:val="21"/>
              </w:rPr>
            </w:pPr>
            <w:r>
              <w:rPr>
                <w:rFonts w:hint="eastAsia" w:asciiTheme="minorEastAsia" w:hAnsiTheme="minorEastAsia" w:eastAsiaTheme="minorEastAsia"/>
                <w:szCs w:val="21"/>
              </w:rPr>
              <w:t>承德市旅游和文化广电局</w:t>
            </w:r>
          </w:p>
        </w:tc>
        <w:tc>
          <w:tcPr>
            <w:tcW w:w="1820"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行政</w:t>
            </w:r>
          </w:p>
        </w:tc>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正处级</w:t>
            </w:r>
          </w:p>
        </w:tc>
        <w:tc>
          <w:tcPr>
            <w:tcW w:w="2902"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31" w:type="dxa"/>
            <w:vAlign w:val="center"/>
          </w:tcPr>
          <w:p>
            <w:pPr>
              <w:spacing w:line="300" w:lineRule="exact"/>
              <w:jc w:val="left"/>
              <w:rPr>
                <w:rFonts w:asciiTheme="minorEastAsia" w:hAnsiTheme="minorEastAsia" w:eastAsiaTheme="minorEastAsia"/>
                <w:szCs w:val="21"/>
              </w:rPr>
            </w:pPr>
            <w:r>
              <w:rPr>
                <w:rFonts w:hint="eastAsia" w:asciiTheme="minorEastAsia" w:hAnsiTheme="minorEastAsia" w:eastAsiaTheme="minorEastAsia"/>
                <w:szCs w:val="21"/>
              </w:rPr>
              <w:t>承德市图书馆</w:t>
            </w:r>
          </w:p>
        </w:tc>
        <w:tc>
          <w:tcPr>
            <w:tcW w:w="1820"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事业</w:t>
            </w:r>
          </w:p>
        </w:tc>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正科级</w:t>
            </w:r>
          </w:p>
        </w:tc>
        <w:tc>
          <w:tcPr>
            <w:tcW w:w="2902"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31" w:type="dxa"/>
            <w:vAlign w:val="center"/>
          </w:tcPr>
          <w:p>
            <w:pPr>
              <w:spacing w:line="300" w:lineRule="exact"/>
              <w:jc w:val="left"/>
              <w:rPr>
                <w:rFonts w:asciiTheme="minorEastAsia" w:hAnsiTheme="minorEastAsia" w:eastAsiaTheme="minorEastAsia"/>
                <w:szCs w:val="21"/>
              </w:rPr>
            </w:pPr>
            <w:r>
              <w:rPr>
                <w:rFonts w:hint="eastAsia" w:asciiTheme="minorEastAsia" w:hAnsiTheme="minorEastAsia" w:eastAsiaTheme="minorEastAsia"/>
                <w:szCs w:val="21"/>
              </w:rPr>
              <w:t>承德市群众艺术馆</w:t>
            </w:r>
          </w:p>
        </w:tc>
        <w:tc>
          <w:tcPr>
            <w:tcW w:w="1820"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事业</w:t>
            </w:r>
          </w:p>
        </w:tc>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正科级</w:t>
            </w:r>
          </w:p>
        </w:tc>
        <w:tc>
          <w:tcPr>
            <w:tcW w:w="2902"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31" w:type="dxa"/>
            <w:vAlign w:val="center"/>
          </w:tcPr>
          <w:p>
            <w:pPr>
              <w:spacing w:line="300" w:lineRule="exact"/>
              <w:jc w:val="left"/>
              <w:rPr>
                <w:rFonts w:asciiTheme="minorEastAsia" w:hAnsiTheme="minorEastAsia" w:eastAsiaTheme="minorEastAsia"/>
                <w:szCs w:val="21"/>
              </w:rPr>
            </w:pPr>
            <w:r>
              <w:rPr>
                <w:rFonts w:hint="eastAsia" w:asciiTheme="minorEastAsia" w:hAnsiTheme="minorEastAsia" w:eastAsiaTheme="minorEastAsia"/>
                <w:szCs w:val="21"/>
              </w:rPr>
              <w:t>承德市艺术研究所</w:t>
            </w:r>
          </w:p>
        </w:tc>
        <w:tc>
          <w:tcPr>
            <w:tcW w:w="1820"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事业</w:t>
            </w:r>
          </w:p>
        </w:tc>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正科级</w:t>
            </w:r>
          </w:p>
        </w:tc>
        <w:tc>
          <w:tcPr>
            <w:tcW w:w="2902"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31" w:type="dxa"/>
            <w:vAlign w:val="center"/>
          </w:tcPr>
          <w:p>
            <w:pPr>
              <w:spacing w:line="300" w:lineRule="exact"/>
              <w:jc w:val="left"/>
              <w:rPr>
                <w:rFonts w:asciiTheme="minorEastAsia" w:hAnsiTheme="minorEastAsia" w:eastAsiaTheme="minorEastAsia"/>
                <w:szCs w:val="21"/>
              </w:rPr>
            </w:pPr>
            <w:r>
              <w:rPr>
                <w:rFonts w:hint="eastAsia" w:asciiTheme="minorEastAsia" w:hAnsiTheme="minorEastAsia" w:eastAsiaTheme="minorEastAsia"/>
                <w:szCs w:val="21"/>
              </w:rPr>
              <w:t>承德市评剧团</w:t>
            </w:r>
          </w:p>
        </w:tc>
        <w:tc>
          <w:tcPr>
            <w:tcW w:w="1820"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事业差额</w:t>
            </w:r>
          </w:p>
        </w:tc>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正科级</w:t>
            </w:r>
          </w:p>
        </w:tc>
        <w:tc>
          <w:tcPr>
            <w:tcW w:w="2902"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31" w:type="dxa"/>
            <w:vAlign w:val="center"/>
          </w:tcPr>
          <w:p>
            <w:pPr>
              <w:spacing w:line="300" w:lineRule="exact"/>
              <w:jc w:val="left"/>
              <w:rPr>
                <w:rFonts w:asciiTheme="minorEastAsia" w:hAnsiTheme="minorEastAsia" w:eastAsiaTheme="minorEastAsia"/>
                <w:szCs w:val="21"/>
              </w:rPr>
            </w:pPr>
            <w:r>
              <w:rPr>
                <w:rFonts w:hint="eastAsia" w:asciiTheme="minorEastAsia" w:hAnsiTheme="minorEastAsia" w:eastAsiaTheme="minorEastAsia"/>
                <w:szCs w:val="21"/>
              </w:rPr>
              <w:t>承德市歌舞团</w:t>
            </w:r>
          </w:p>
        </w:tc>
        <w:tc>
          <w:tcPr>
            <w:tcW w:w="1820"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事业差额</w:t>
            </w:r>
          </w:p>
        </w:tc>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正科级</w:t>
            </w:r>
          </w:p>
        </w:tc>
        <w:tc>
          <w:tcPr>
            <w:tcW w:w="2902"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31" w:type="dxa"/>
            <w:vAlign w:val="center"/>
          </w:tcPr>
          <w:p>
            <w:pPr>
              <w:spacing w:line="300" w:lineRule="exact"/>
              <w:jc w:val="left"/>
              <w:rPr>
                <w:rFonts w:asciiTheme="minorEastAsia" w:hAnsiTheme="minorEastAsia" w:eastAsiaTheme="minorEastAsia"/>
                <w:szCs w:val="21"/>
              </w:rPr>
            </w:pPr>
            <w:r>
              <w:rPr>
                <w:rFonts w:hint="eastAsia" w:cs="方正书宋_GBK" w:asciiTheme="minorEastAsia" w:hAnsiTheme="minorEastAsia" w:eastAsiaTheme="minorEastAsia"/>
                <w:szCs w:val="21"/>
              </w:rPr>
              <w:t>承德市旅游管理服务培训中心</w:t>
            </w:r>
          </w:p>
        </w:tc>
        <w:tc>
          <w:tcPr>
            <w:tcW w:w="1820" w:type="dxa"/>
            <w:vAlign w:val="center"/>
          </w:tcPr>
          <w:p>
            <w:pPr>
              <w:spacing w:line="300" w:lineRule="exact"/>
              <w:jc w:val="center"/>
              <w:rPr>
                <w:rFonts w:asciiTheme="minorEastAsia" w:hAnsiTheme="minorEastAsia" w:eastAsiaTheme="minorEastAsia"/>
                <w:szCs w:val="21"/>
              </w:rPr>
            </w:pPr>
            <w:r>
              <w:rPr>
                <w:rFonts w:hint="eastAsia" w:cs="方正书宋_GBK" w:asciiTheme="minorEastAsia" w:hAnsiTheme="minorEastAsia" w:eastAsiaTheme="minorEastAsia"/>
                <w:szCs w:val="21"/>
              </w:rPr>
              <w:t xml:space="preserve">事业自收自支   </w:t>
            </w:r>
          </w:p>
        </w:tc>
        <w:tc>
          <w:tcPr>
            <w:tcW w:w="1276" w:type="dxa"/>
            <w:vAlign w:val="center"/>
          </w:tcPr>
          <w:p>
            <w:pPr>
              <w:spacing w:line="300" w:lineRule="exact"/>
              <w:jc w:val="center"/>
              <w:rPr>
                <w:rFonts w:asciiTheme="minorEastAsia" w:hAnsiTheme="minorEastAsia" w:eastAsiaTheme="minorEastAsia"/>
                <w:szCs w:val="21"/>
              </w:rPr>
            </w:pPr>
            <w:r>
              <w:rPr>
                <w:rFonts w:hint="eastAsia" w:cs="方正书宋_GBK" w:asciiTheme="minorEastAsia" w:hAnsiTheme="minorEastAsia" w:eastAsiaTheme="minorEastAsia"/>
                <w:szCs w:val="21"/>
              </w:rPr>
              <w:t>正科级</w:t>
            </w:r>
          </w:p>
        </w:tc>
        <w:tc>
          <w:tcPr>
            <w:tcW w:w="2902"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自收自支事业单位</w:t>
            </w:r>
          </w:p>
        </w:tc>
      </w:tr>
    </w:tbl>
    <w:p>
      <w:pPr>
        <w:spacing w:line="600" w:lineRule="exact"/>
        <w:ind w:firstLine="640" w:firstLineChars="200"/>
        <w:rPr>
          <w:rFonts w:ascii="仿宋" w:hAnsi="仿宋" w:eastAsia="仿宋"/>
          <w:color w:val="2B2B2B"/>
          <w:sz w:val="32"/>
          <w:szCs w:val="32"/>
        </w:rPr>
      </w:pPr>
    </w:p>
    <w:p>
      <w:pPr>
        <w:spacing w:line="600" w:lineRule="exact"/>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spacing w:line="600" w:lineRule="exact"/>
        <w:ind w:firstLine="640"/>
        <w:rPr>
          <w:rFonts w:ascii="仿宋" w:hAnsi="仿宋" w:eastAsia="仿宋" w:cs="Times New Roman"/>
          <w:sz w:val="32"/>
          <w:szCs w:val="32"/>
        </w:rPr>
      </w:pPr>
      <w:r>
        <w:rPr>
          <w:rFonts w:hint="eastAsia" w:ascii="仿宋" w:hAnsi="仿宋" w:eastAsia="仿宋" w:cs="Times New Roman"/>
          <w:sz w:val="32"/>
          <w:szCs w:val="32"/>
        </w:rPr>
        <w:t>按照预算管理有关规定，目前我局预算的编制实行综合预算制度，即全部收入和支出都反映在预算中。承德市旅游和文化广电局机关及所属事业单位的收支包含在部门预算中。</w:t>
      </w:r>
    </w:p>
    <w:p>
      <w:pPr>
        <w:spacing w:line="600" w:lineRule="exact"/>
        <w:ind w:firstLine="640" w:firstLineChars="200"/>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Times New Roman"/>
          <w:sz w:val="32"/>
          <w:szCs w:val="32"/>
        </w:rPr>
        <w:t>、收入说明</w:t>
      </w:r>
      <w:r>
        <w:rPr>
          <w:rFonts w:ascii="仿宋" w:hAnsi="仿宋" w:eastAsia="仿宋" w:cs="Times New Roman"/>
          <w:sz w:val="32"/>
          <w:szCs w:val="32"/>
        </w:rPr>
        <w:t xml:space="preserve"> </w:t>
      </w:r>
    </w:p>
    <w:p>
      <w:pPr>
        <w:ind w:firstLine="640" w:firstLineChars="200"/>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20年预算收入506</w:t>
      </w:r>
      <w:r>
        <w:rPr>
          <w:rFonts w:hint="eastAsia" w:ascii="仿宋" w:hAnsi="仿宋" w:eastAsia="仿宋" w:cs="Times New Roman"/>
          <w:sz w:val="32"/>
          <w:szCs w:val="32"/>
          <w:lang w:val="en-US" w:eastAsia="zh-CN"/>
        </w:rPr>
        <w:t>1.48</w:t>
      </w:r>
      <w:r>
        <w:rPr>
          <w:rFonts w:hint="eastAsia" w:ascii="仿宋" w:hAnsi="仿宋" w:eastAsia="仿宋" w:cs="Times New Roman"/>
          <w:sz w:val="32"/>
          <w:szCs w:val="32"/>
        </w:rPr>
        <w:t>万元，</w:t>
      </w:r>
      <w:r>
        <w:rPr>
          <w:rFonts w:ascii="仿宋" w:hAnsi="仿宋" w:eastAsia="仿宋" w:cs="Times New Roman"/>
          <w:sz w:val="32"/>
          <w:szCs w:val="32"/>
        </w:rPr>
        <w:t>其中：一般公共预算收入</w:t>
      </w:r>
      <w:r>
        <w:rPr>
          <w:rFonts w:hint="eastAsia" w:ascii="仿宋" w:hAnsi="仿宋" w:eastAsia="仿宋" w:cs="Times New Roman"/>
          <w:sz w:val="32"/>
          <w:szCs w:val="32"/>
          <w:lang w:val="en-US" w:eastAsia="zh-CN"/>
        </w:rPr>
        <w:t>5061.48</w:t>
      </w:r>
      <w:r>
        <w:rPr>
          <w:rFonts w:ascii="仿宋" w:hAnsi="仿宋" w:eastAsia="仿宋" w:cs="Times New Roman"/>
          <w:sz w:val="32"/>
          <w:szCs w:val="32"/>
        </w:rPr>
        <w:t>万元，</w:t>
      </w:r>
      <w:r>
        <w:rPr>
          <w:rFonts w:hint="eastAsia" w:ascii="仿宋" w:hAnsi="仿宋" w:eastAsia="仿宋" w:cs="Times New Roman"/>
          <w:sz w:val="32"/>
          <w:szCs w:val="32"/>
        </w:rPr>
        <w:t>基金预算</w:t>
      </w:r>
      <w:r>
        <w:rPr>
          <w:rFonts w:ascii="仿宋" w:hAnsi="仿宋" w:eastAsia="仿宋" w:cs="Times New Roman"/>
          <w:sz w:val="32"/>
          <w:szCs w:val="32"/>
        </w:rPr>
        <w:t>收入</w:t>
      </w:r>
      <w:r>
        <w:rPr>
          <w:rFonts w:hint="eastAsia" w:ascii="仿宋" w:hAnsi="仿宋" w:eastAsia="仿宋" w:cs="Times New Roman"/>
          <w:sz w:val="32"/>
          <w:szCs w:val="32"/>
        </w:rPr>
        <w:t>0</w:t>
      </w:r>
      <w:r>
        <w:rPr>
          <w:rFonts w:ascii="仿宋" w:hAnsi="仿宋" w:eastAsia="仿宋" w:cs="Times New Roman"/>
          <w:sz w:val="32"/>
          <w:szCs w:val="32"/>
        </w:rPr>
        <w:t>万元，</w:t>
      </w:r>
      <w:r>
        <w:rPr>
          <w:rFonts w:hint="eastAsia" w:ascii="仿宋" w:hAnsi="仿宋" w:eastAsia="仿宋" w:cs="Times New Roman"/>
          <w:sz w:val="32"/>
          <w:szCs w:val="32"/>
        </w:rPr>
        <w:t>财政专户核拨收入0</w:t>
      </w:r>
      <w:r>
        <w:rPr>
          <w:rFonts w:ascii="仿宋" w:hAnsi="仿宋" w:eastAsia="仿宋" w:cs="Times New Roman"/>
          <w:sz w:val="32"/>
          <w:szCs w:val="32"/>
        </w:rPr>
        <w:t>万元</w:t>
      </w:r>
      <w:r>
        <w:rPr>
          <w:rFonts w:hint="eastAsia" w:ascii="仿宋" w:hAnsi="仿宋" w:eastAsia="仿宋" w:cs="Times New Roman"/>
          <w:sz w:val="32"/>
          <w:szCs w:val="32"/>
        </w:rPr>
        <w:t>，其他来源收入0万元。</w:t>
      </w:r>
    </w:p>
    <w:p>
      <w:pPr>
        <w:spacing w:line="600" w:lineRule="exact"/>
        <w:ind w:firstLine="640" w:firstLineChars="200"/>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Times New Roman"/>
          <w:sz w:val="32"/>
          <w:szCs w:val="32"/>
        </w:rPr>
        <w:t>、支出说明</w:t>
      </w:r>
    </w:p>
    <w:p>
      <w:pPr>
        <w:spacing w:line="600" w:lineRule="exact"/>
        <w:ind w:firstLine="480" w:firstLineChars="150"/>
        <w:rPr>
          <w:rFonts w:ascii="仿宋" w:hAnsi="仿宋" w:eastAsia="仿宋" w:cs="Times New Roman"/>
          <w:sz w:val="32"/>
          <w:szCs w:val="32"/>
        </w:rPr>
      </w:pPr>
      <w:r>
        <w:rPr>
          <w:rFonts w:ascii="仿宋" w:hAnsi="仿宋" w:eastAsia="仿宋" w:cs="Times New Roman"/>
          <w:sz w:val="32"/>
          <w:szCs w:val="32"/>
        </w:rPr>
        <w:t xml:space="preserve"> 20</w:t>
      </w:r>
      <w:r>
        <w:rPr>
          <w:rFonts w:hint="eastAsia" w:ascii="仿宋" w:hAnsi="仿宋" w:eastAsia="仿宋" w:cs="Times New Roman"/>
          <w:sz w:val="32"/>
          <w:szCs w:val="32"/>
        </w:rPr>
        <w:t>20年部门支出预算为506</w:t>
      </w:r>
      <w:r>
        <w:rPr>
          <w:rFonts w:hint="eastAsia" w:ascii="仿宋" w:hAnsi="仿宋" w:eastAsia="仿宋" w:cs="Times New Roman"/>
          <w:sz w:val="32"/>
          <w:szCs w:val="32"/>
          <w:lang w:val="en-US" w:eastAsia="zh-CN"/>
        </w:rPr>
        <w:t>1.48</w:t>
      </w:r>
      <w:r>
        <w:rPr>
          <w:rFonts w:hint="eastAsia" w:ascii="仿宋" w:hAnsi="仿宋" w:eastAsia="仿宋" w:cs="Times New Roman"/>
          <w:sz w:val="32"/>
          <w:szCs w:val="32"/>
        </w:rPr>
        <w:t>万元，其中基本支出410</w:t>
      </w:r>
      <w:r>
        <w:rPr>
          <w:rFonts w:hint="eastAsia" w:ascii="仿宋" w:hAnsi="仿宋" w:eastAsia="仿宋" w:cs="Times New Roman"/>
          <w:sz w:val="32"/>
          <w:szCs w:val="32"/>
          <w:lang w:val="en-US" w:eastAsia="zh-CN"/>
        </w:rPr>
        <w:t>2.69</w:t>
      </w:r>
      <w:r>
        <w:rPr>
          <w:rFonts w:hint="eastAsia" w:ascii="仿宋" w:hAnsi="仿宋" w:eastAsia="仿宋" w:cs="Times New Roman"/>
          <w:sz w:val="32"/>
          <w:szCs w:val="32"/>
        </w:rPr>
        <w:t>万元，包括人员经费3864.32万元和日常公用经费</w:t>
      </w:r>
      <w:r>
        <w:rPr>
          <w:rFonts w:hint="eastAsia" w:ascii="仿宋" w:hAnsi="仿宋" w:eastAsia="仿宋" w:cs="Times New Roman"/>
          <w:sz w:val="32"/>
          <w:szCs w:val="32"/>
          <w:lang w:val="en-US" w:eastAsia="zh-CN"/>
        </w:rPr>
        <w:t>238.37</w:t>
      </w:r>
      <w:r>
        <w:rPr>
          <w:rFonts w:hint="eastAsia" w:ascii="仿宋" w:hAnsi="仿宋" w:eastAsia="仿宋" w:cs="Times New Roman"/>
          <w:sz w:val="32"/>
          <w:szCs w:val="32"/>
        </w:rPr>
        <w:t>万元；项目支出958.79万元，全部为本级支出。</w:t>
      </w:r>
    </w:p>
    <w:p>
      <w:pPr>
        <w:spacing w:line="600" w:lineRule="exact"/>
        <w:ind w:firstLine="640" w:firstLineChars="200"/>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Times New Roman"/>
          <w:sz w:val="32"/>
          <w:szCs w:val="32"/>
        </w:rPr>
        <w:t>、比上年增减情况</w:t>
      </w:r>
    </w:p>
    <w:p>
      <w:pPr>
        <w:ind w:firstLine="640"/>
        <w:rPr>
          <w:rFonts w:ascii="仿宋" w:hAnsi="仿宋" w:eastAsia="仿宋" w:cs="Times New Roman"/>
          <w:color w:val="auto"/>
          <w:sz w:val="32"/>
          <w:szCs w:val="32"/>
        </w:rPr>
      </w:pPr>
      <w:r>
        <w:rPr>
          <w:rFonts w:ascii="仿宋" w:hAnsi="仿宋" w:eastAsia="仿宋" w:cs="Times New Roman"/>
          <w:color w:val="auto"/>
          <w:sz w:val="32"/>
          <w:szCs w:val="32"/>
        </w:rPr>
        <w:t>20</w:t>
      </w:r>
      <w:r>
        <w:rPr>
          <w:rFonts w:hint="eastAsia" w:ascii="仿宋" w:hAnsi="仿宋" w:eastAsia="仿宋" w:cs="Times New Roman"/>
          <w:color w:val="auto"/>
          <w:sz w:val="32"/>
          <w:szCs w:val="32"/>
        </w:rPr>
        <w:t>20</w:t>
      </w:r>
      <w:r>
        <w:rPr>
          <w:rFonts w:ascii="仿宋" w:hAnsi="仿宋" w:eastAsia="仿宋" w:cs="Times New Roman"/>
          <w:color w:val="auto"/>
          <w:sz w:val="32"/>
          <w:szCs w:val="32"/>
        </w:rPr>
        <w:t>年预算收支安排</w:t>
      </w:r>
      <w:r>
        <w:rPr>
          <w:rFonts w:hint="eastAsia" w:ascii="仿宋" w:hAnsi="仿宋" w:eastAsia="仿宋" w:cs="Times New Roman"/>
          <w:color w:val="auto"/>
          <w:sz w:val="32"/>
          <w:szCs w:val="32"/>
        </w:rPr>
        <w:t>506</w:t>
      </w:r>
      <w:r>
        <w:rPr>
          <w:rFonts w:hint="eastAsia" w:ascii="仿宋" w:hAnsi="仿宋" w:eastAsia="仿宋" w:cs="Times New Roman"/>
          <w:color w:val="auto"/>
          <w:sz w:val="32"/>
          <w:szCs w:val="32"/>
          <w:lang w:val="en-US" w:eastAsia="zh-CN"/>
        </w:rPr>
        <w:t>1.48</w:t>
      </w:r>
      <w:r>
        <w:rPr>
          <w:rFonts w:ascii="仿宋" w:hAnsi="仿宋" w:eastAsia="仿宋" w:cs="Times New Roman"/>
          <w:color w:val="auto"/>
          <w:sz w:val="32"/>
          <w:szCs w:val="32"/>
        </w:rPr>
        <w:t>万元，</w:t>
      </w:r>
      <w:r>
        <w:rPr>
          <w:rFonts w:hint="eastAsia" w:ascii="仿宋" w:hAnsi="仿宋" w:eastAsia="仿宋" w:cs="Times New Roman"/>
          <w:color w:val="auto"/>
          <w:sz w:val="32"/>
          <w:szCs w:val="32"/>
        </w:rPr>
        <w:t>较2019年预算同比减少</w:t>
      </w:r>
      <w:r>
        <w:rPr>
          <w:rFonts w:hint="eastAsia" w:ascii="仿宋" w:hAnsi="仿宋" w:eastAsia="仿宋" w:cs="Times New Roman"/>
          <w:color w:val="auto"/>
          <w:sz w:val="32"/>
          <w:szCs w:val="32"/>
          <w:lang w:val="en-US" w:eastAsia="zh-CN"/>
        </w:rPr>
        <w:t>29.55</w:t>
      </w:r>
      <w:r>
        <w:rPr>
          <w:rFonts w:hint="eastAsia" w:ascii="仿宋" w:hAnsi="仿宋" w:eastAsia="仿宋" w:cs="Times New Roman"/>
          <w:color w:val="auto"/>
          <w:sz w:val="32"/>
          <w:szCs w:val="32"/>
        </w:rPr>
        <w:t>万元，</w:t>
      </w:r>
      <w:r>
        <w:rPr>
          <w:rFonts w:ascii="仿宋" w:hAnsi="仿宋" w:eastAsia="仿宋" w:cs="Times New Roman"/>
          <w:color w:val="auto"/>
          <w:sz w:val="32"/>
          <w:szCs w:val="32"/>
        </w:rPr>
        <w:t>其中：基本支出</w:t>
      </w:r>
      <w:r>
        <w:rPr>
          <w:rFonts w:hint="eastAsia" w:ascii="仿宋" w:hAnsi="仿宋" w:eastAsia="仿宋" w:cs="Times New Roman"/>
          <w:color w:val="auto"/>
          <w:sz w:val="32"/>
          <w:szCs w:val="32"/>
        </w:rPr>
        <w:t>减少</w:t>
      </w:r>
      <w:r>
        <w:rPr>
          <w:rFonts w:hint="eastAsia" w:ascii="仿宋" w:hAnsi="仿宋" w:eastAsia="仿宋" w:cs="Times New Roman"/>
          <w:color w:val="auto"/>
          <w:sz w:val="32"/>
          <w:szCs w:val="32"/>
          <w:lang w:val="en-US" w:eastAsia="zh-CN"/>
        </w:rPr>
        <w:t>39.45</w:t>
      </w:r>
      <w:r>
        <w:rPr>
          <w:rFonts w:ascii="仿宋" w:hAnsi="仿宋" w:eastAsia="仿宋" w:cs="Times New Roman"/>
          <w:color w:val="auto"/>
          <w:sz w:val="32"/>
          <w:szCs w:val="32"/>
        </w:rPr>
        <w:t>万元，主要为</w:t>
      </w:r>
      <w:r>
        <w:rPr>
          <w:rFonts w:hint="eastAsia" w:ascii="仿宋" w:hAnsi="仿宋" w:eastAsia="仿宋" w:cs="Times New Roman"/>
          <w:color w:val="auto"/>
          <w:sz w:val="32"/>
          <w:szCs w:val="32"/>
        </w:rPr>
        <w:t>减少日常公用</w:t>
      </w:r>
      <w:r>
        <w:rPr>
          <w:rFonts w:ascii="仿宋" w:hAnsi="仿宋" w:eastAsia="仿宋" w:cs="Times New Roman"/>
          <w:color w:val="auto"/>
          <w:sz w:val="32"/>
          <w:szCs w:val="32"/>
        </w:rPr>
        <w:t>经费支出；项目支出</w:t>
      </w:r>
      <w:r>
        <w:rPr>
          <w:rFonts w:hint="eastAsia" w:ascii="仿宋" w:hAnsi="仿宋" w:eastAsia="仿宋" w:cs="Times New Roman"/>
          <w:color w:val="auto"/>
          <w:sz w:val="32"/>
          <w:szCs w:val="32"/>
        </w:rPr>
        <w:t>增加9.90</w:t>
      </w:r>
      <w:r>
        <w:rPr>
          <w:rFonts w:ascii="仿宋" w:hAnsi="仿宋" w:eastAsia="仿宋" w:cs="Times New Roman"/>
          <w:color w:val="auto"/>
          <w:sz w:val="32"/>
          <w:szCs w:val="32"/>
        </w:rPr>
        <w:t>万元，</w:t>
      </w:r>
      <w:r>
        <w:rPr>
          <w:rFonts w:hint="eastAsia" w:ascii="仿宋" w:hAnsi="仿宋" w:eastAsia="仿宋" w:cs="Times New Roman"/>
          <w:color w:val="auto"/>
          <w:sz w:val="32"/>
          <w:szCs w:val="32"/>
        </w:rPr>
        <w:t>主要为增加环境整治、旅游发展等专项支出。</w:t>
      </w:r>
    </w:p>
    <w:p>
      <w:pPr>
        <w:spacing w:line="600" w:lineRule="exact"/>
        <w:ind w:firstLine="643" w:firstLineChars="200"/>
        <w:rPr>
          <w:rFonts w:ascii="黑体" w:hAnsi="黑体" w:eastAsia="黑体" w:cs="Times New Roman"/>
          <w:b/>
          <w:sz w:val="32"/>
          <w:szCs w:val="32"/>
        </w:rPr>
      </w:pPr>
      <w:r>
        <w:rPr>
          <w:rFonts w:hint="eastAsia" w:ascii="黑体" w:hAnsi="黑体" w:eastAsia="黑体" w:cs="Times New Roman"/>
          <w:b/>
          <w:sz w:val="32"/>
          <w:szCs w:val="32"/>
        </w:rPr>
        <w:t>三、机关运行经费安排情况</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2020年，我局机关运行经费共计安排238.</w:t>
      </w:r>
      <w:bookmarkStart w:id="21" w:name="_GoBack"/>
      <w:bookmarkEnd w:id="21"/>
      <w:r>
        <w:rPr>
          <w:rFonts w:hint="eastAsia" w:ascii="仿宋" w:hAnsi="仿宋" w:eastAsia="仿宋" w:cs="Times New Roman"/>
          <w:sz w:val="32"/>
          <w:szCs w:val="32"/>
        </w:rPr>
        <w:t>37万元，主要用于保证机关正常运转的办公、邮电费、差旅费、工会会费、福利费、取暖费、交通费、公务车运行维护费等支出。</w:t>
      </w:r>
    </w:p>
    <w:p>
      <w:pPr>
        <w:autoSpaceDE w:val="0"/>
        <w:autoSpaceDN w:val="0"/>
        <w:adjustRightInd w:val="0"/>
        <w:spacing w:line="60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四、财政拨款“三公”经费预算情况及增减变化原因</w:t>
      </w:r>
    </w:p>
    <w:p>
      <w:pPr>
        <w:autoSpaceDE w:val="0"/>
        <w:autoSpaceDN w:val="0"/>
        <w:adjustRightInd w:val="0"/>
        <w:spacing w:line="60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20年，财政拨款“三公”经费预算安排6.78万元，其中：因公出国（境）费0万元；公务用车购置及运维费4.9万元（其中：公务用车购置费0万元</w:t>
      </w:r>
      <w:r>
        <w:rPr>
          <w:rFonts w:ascii="仿宋" w:hAnsi="仿宋" w:eastAsia="仿宋" w:cs="Times New Roman"/>
          <w:sz w:val="32"/>
          <w:szCs w:val="32"/>
        </w:rPr>
        <w:t>,</w:t>
      </w:r>
      <w:r>
        <w:rPr>
          <w:rFonts w:hint="eastAsia" w:ascii="仿宋" w:hAnsi="仿宋" w:eastAsia="仿宋" w:cs="Times New Roman"/>
          <w:sz w:val="32"/>
          <w:szCs w:val="32"/>
        </w:rPr>
        <w:t>公务用车运行费4.9万元</w:t>
      </w:r>
      <w:r>
        <w:rPr>
          <w:rFonts w:ascii="仿宋" w:hAnsi="仿宋" w:eastAsia="仿宋" w:cs="Times New Roman"/>
          <w:sz w:val="32"/>
          <w:szCs w:val="32"/>
        </w:rPr>
        <w:t>)</w:t>
      </w:r>
      <w:r>
        <w:rPr>
          <w:rFonts w:hint="eastAsia" w:ascii="仿宋" w:hAnsi="仿宋" w:eastAsia="仿宋" w:cs="Times New Roman"/>
          <w:sz w:val="32"/>
          <w:szCs w:val="32"/>
        </w:rPr>
        <w:t>；公务接待费1.88万元。“三公”经费比上年减少12.82万元，减少了65.4</w:t>
      </w:r>
      <w:r>
        <w:rPr>
          <w:rFonts w:ascii="仿宋" w:hAnsi="仿宋" w:eastAsia="仿宋" w:cs="Times New Roman"/>
          <w:sz w:val="32"/>
          <w:szCs w:val="32"/>
        </w:rPr>
        <w:t>%</w:t>
      </w:r>
      <w:r>
        <w:rPr>
          <w:rFonts w:hint="eastAsia" w:ascii="仿宋" w:hAnsi="仿宋" w:eastAsia="仿宋" w:cs="Times New Roman"/>
          <w:sz w:val="32"/>
          <w:szCs w:val="32"/>
        </w:rPr>
        <w:t>，主要是在</w:t>
      </w:r>
      <w:r>
        <w:rPr>
          <w:rFonts w:ascii="仿宋" w:hAnsi="仿宋" w:eastAsia="仿宋" w:cs="Times New Roman"/>
          <w:sz w:val="32"/>
          <w:szCs w:val="32"/>
        </w:rPr>
        <w:t>20</w:t>
      </w:r>
      <w:r>
        <w:rPr>
          <w:rFonts w:hint="eastAsia" w:ascii="仿宋" w:hAnsi="仿宋" w:eastAsia="仿宋" w:cs="Times New Roman"/>
          <w:sz w:val="32"/>
          <w:szCs w:val="32"/>
        </w:rPr>
        <w:t>20年一般公共预算财政拨款中取消了因公出国经费，安排到本年度中集中使用，且减少了公务接待费。</w:t>
      </w:r>
    </w:p>
    <w:p>
      <w:pPr>
        <w:autoSpaceDE w:val="0"/>
        <w:autoSpaceDN w:val="0"/>
        <w:adjustRightInd w:val="0"/>
        <w:spacing w:line="60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五、绩效预算信息</w:t>
      </w:r>
      <w:bookmarkStart w:id="0" w:name="_Toc471398463"/>
    </w:p>
    <w:p>
      <w:pPr>
        <w:autoSpaceDE w:val="0"/>
        <w:autoSpaceDN w:val="0"/>
        <w:adjustRightInd w:val="0"/>
        <w:spacing w:line="600" w:lineRule="exact"/>
        <w:ind w:firstLine="643" w:firstLineChars="200"/>
        <w:jc w:val="left"/>
        <w:rPr>
          <w:rFonts w:ascii="方正黑体_GBK" w:eastAsia="方正黑体_GBK"/>
          <w:b/>
          <w:sz w:val="32"/>
          <w:szCs w:val="32"/>
        </w:rPr>
      </w:pPr>
      <w:r>
        <w:rPr>
          <w:rFonts w:hint="eastAsia" w:ascii="方正黑体_GBK" w:eastAsia="方正黑体_GBK"/>
          <w:b/>
          <w:sz w:val="32"/>
          <w:szCs w:val="32"/>
        </w:rPr>
        <w:t>第一部分 部门整体绩效目标</w:t>
      </w:r>
    </w:p>
    <w:p>
      <w:pPr>
        <w:autoSpaceDE w:val="0"/>
        <w:autoSpaceDN w:val="0"/>
        <w:adjustRightInd w:val="0"/>
        <w:spacing w:line="600" w:lineRule="exact"/>
        <w:ind w:firstLine="643" w:firstLineChars="200"/>
        <w:jc w:val="left"/>
        <w:rPr>
          <w:rFonts w:ascii="Times New Roman" w:hAnsi="宋体"/>
          <w:b/>
          <w:sz w:val="32"/>
          <w:szCs w:val="32"/>
        </w:rPr>
      </w:pPr>
      <w:r>
        <w:rPr>
          <w:rFonts w:hint="eastAsia" w:ascii="方正黑体_GBK" w:eastAsia="方正黑体_GBK"/>
          <w:b/>
          <w:sz w:val="32"/>
          <w:szCs w:val="32"/>
        </w:rPr>
        <w:t>（一）总体绩效目标</w:t>
      </w:r>
      <w:r>
        <w:rPr>
          <w:rFonts w:ascii="方正黑体_GBK" w:eastAsia="方正黑体_GBK"/>
          <w:b/>
          <w:sz w:val="32"/>
          <w:szCs w:val="32"/>
        </w:rPr>
        <w:fldChar w:fldCharType="begin"/>
      </w:r>
      <w:r>
        <w:rPr>
          <w:rFonts w:ascii="方正黑体_GBK" w:eastAsia="方正黑体_GBK"/>
          <w:b/>
          <w:sz w:val="32"/>
          <w:szCs w:val="32"/>
        </w:rPr>
        <w:instrText xml:space="preserve"> </w:instrText>
      </w:r>
      <w:r>
        <w:rPr>
          <w:rFonts w:hint="eastAsia" w:ascii="方正黑体_GBK" w:eastAsia="方正黑体_GBK"/>
          <w:b/>
          <w:sz w:val="32"/>
          <w:szCs w:val="32"/>
        </w:rPr>
        <w:instrText xml:space="preserve">TC </w:instrText>
      </w:r>
      <w:bookmarkStart w:id="1" w:name="_Toc28856446"/>
      <w:r>
        <w:rPr>
          <w:rFonts w:hint="eastAsia" w:ascii="方正黑体_GBK" w:eastAsia="方正黑体_GBK"/>
          <w:b/>
          <w:sz w:val="32"/>
          <w:szCs w:val="32"/>
        </w:rPr>
        <w:instrText xml:space="preserve">总体绩效目标</w:instrText>
      </w:r>
      <w:bookmarkEnd w:id="1"/>
      <w:r>
        <w:rPr>
          <w:rFonts w:hint="eastAsia" w:ascii="方正黑体_GBK" w:eastAsia="方正黑体_GBK"/>
          <w:b/>
          <w:sz w:val="32"/>
          <w:szCs w:val="32"/>
        </w:rPr>
        <w:instrText xml:space="preserve"> \f A \l 1</w:instrText>
      </w:r>
      <w:r>
        <w:rPr>
          <w:rFonts w:ascii="方正黑体_GBK" w:eastAsia="方正黑体_GBK"/>
          <w:b/>
          <w:sz w:val="32"/>
          <w:szCs w:val="32"/>
        </w:rPr>
        <w:instrText xml:space="preserve"> </w:instrText>
      </w:r>
      <w:r>
        <w:rPr>
          <w:rFonts w:ascii="方正黑体_GBK" w:eastAsia="方正黑体_GBK"/>
          <w:b/>
          <w:sz w:val="32"/>
          <w:szCs w:val="32"/>
        </w:rPr>
        <w:fldChar w:fldCharType="end"/>
      </w: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以“一心、两带、五大板块、六个旅游度假区”为目标，围绕2020年“11655”工作目标，高质量抓好18项重点任务，推动我市创建国家全域旅游示范区和国际旅游城市。</w:t>
      </w:r>
    </w:p>
    <w:p>
      <w:pPr>
        <w:spacing w:line="600" w:lineRule="exact"/>
        <w:ind w:firstLine="645"/>
        <w:rPr>
          <w:rFonts w:ascii="仿宋" w:hAnsi="仿宋" w:eastAsia="仿宋"/>
          <w:sz w:val="32"/>
          <w:szCs w:val="32"/>
        </w:rPr>
      </w:pPr>
      <w:r>
        <w:rPr>
          <w:rFonts w:hint="eastAsia" w:ascii="仿宋" w:hAnsi="仿宋" w:eastAsia="仿宋" w:cs="宋体"/>
          <w:kern w:val="0"/>
          <w:sz w:val="32"/>
          <w:szCs w:val="32"/>
        </w:rPr>
        <w:t>1.</w:t>
      </w:r>
      <w:r>
        <w:rPr>
          <w:rFonts w:hint="eastAsia" w:ascii="仿宋" w:hAnsi="仿宋" w:eastAsia="仿宋"/>
          <w:sz w:val="32"/>
          <w:szCs w:val="32"/>
          <w:shd w:val="clear" w:color="auto" w:fill="FFFFFF"/>
        </w:rPr>
        <w:t>打造高品质旅游演艺产品。从促进旅游发展的角度，鼓励对现有演艺资源进行整合利用，鼓励社会资本进入文化旅游演出市场。</w:t>
      </w:r>
    </w:p>
    <w:p>
      <w:pPr>
        <w:pStyle w:val="8"/>
        <w:shd w:val="clear" w:color="auto" w:fill="FFFFFF"/>
        <w:spacing w:before="0" w:beforeAutospacing="0" w:after="0" w:afterAutospacing="0" w:line="600" w:lineRule="exact"/>
        <w:jc w:val="both"/>
        <w:rPr>
          <w:rFonts w:ascii="仿宋" w:hAnsi="仿宋" w:eastAsia="仿宋"/>
          <w:sz w:val="32"/>
          <w:szCs w:val="32"/>
        </w:rPr>
      </w:pPr>
      <w:r>
        <w:rPr>
          <w:rFonts w:hint="eastAsia" w:ascii="仿宋" w:hAnsi="仿宋" w:eastAsia="仿宋"/>
          <w:sz w:val="32"/>
          <w:szCs w:val="32"/>
          <w:shd w:val="clear" w:color="auto" w:fill="FFFFFF"/>
        </w:rPr>
        <w:t>　　2.利用非物质文化遗产资源优势，开发文化旅游产品。坚持保护为主、合理利用的原则，既要保留非物质文化遗产的原生态和本真性，又要通过旅游开发向外界宣传推广。</w:t>
      </w:r>
    </w:p>
    <w:p>
      <w:pPr>
        <w:pStyle w:val="8"/>
        <w:shd w:val="clear" w:color="auto" w:fill="FFFFFF"/>
        <w:spacing w:before="0" w:beforeAutospacing="0" w:after="0" w:afterAutospacing="0" w:line="600" w:lineRule="exact"/>
        <w:jc w:val="both"/>
        <w:rPr>
          <w:rFonts w:ascii="仿宋" w:hAnsi="仿宋" w:eastAsia="仿宋"/>
          <w:sz w:val="32"/>
          <w:szCs w:val="32"/>
        </w:rPr>
      </w:pPr>
      <w:r>
        <w:rPr>
          <w:rFonts w:hint="eastAsia" w:ascii="仿宋" w:hAnsi="仿宋" w:eastAsia="仿宋"/>
          <w:sz w:val="32"/>
          <w:szCs w:val="32"/>
          <w:shd w:val="clear" w:color="auto" w:fill="FFFFFF"/>
        </w:rPr>
        <w:t>　　3.实施品牌引领战略，引导文化旅游产品开展品牌化经营。对列入《国家文化旅游重点项目名录》的文化旅游项目在行业政策、项目审批、信息服务和市场开拓等方面给予重点扶持。</w:t>
      </w:r>
    </w:p>
    <w:p>
      <w:pPr>
        <w:pStyle w:val="8"/>
        <w:shd w:val="clear" w:color="auto" w:fill="FFFFFF"/>
        <w:spacing w:before="0" w:beforeAutospacing="0" w:after="0" w:afterAutospacing="0" w:line="600" w:lineRule="exact"/>
        <w:jc w:val="both"/>
        <w:rPr>
          <w:rFonts w:ascii="仿宋" w:hAnsi="仿宋" w:eastAsia="仿宋"/>
          <w:sz w:val="32"/>
          <w:szCs w:val="32"/>
        </w:rPr>
      </w:pPr>
      <w:r>
        <w:rPr>
          <w:rFonts w:hint="eastAsia" w:ascii="仿宋" w:hAnsi="仿宋" w:eastAsia="仿宋"/>
          <w:sz w:val="32"/>
          <w:szCs w:val="32"/>
          <w:shd w:val="clear" w:color="auto" w:fill="FFFFFF"/>
        </w:rPr>
        <w:t>　　4.举办文化旅游项目推介洽谈会，推动文化旅游企业开展合作。办好第四届承德市旅游产业发展大会，通过举办论坛、投资洽谈会、项目交易会等形式，推进文化企业与旅游企业的沟通与合作。鼓励以资本为纽带的文化、旅游企业间的合作，实现优势互补、市场共享。</w:t>
      </w:r>
    </w:p>
    <w:p>
      <w:pPr>
        <w:pStyle w:val="8"/>
        <w:shd w:val="clear" w:color="auto" w:fill="FFFFFF"/>
        <w:spacing w:before="0" w:beforeAutospacing="0" w:after="0" w:afterAutospacing="0" w:line="600" w:lineRule="exact"/>
        <w:jc w:val="both"/>
        <w:rPr>
          <w:rFonts w:ascii="仿宋" w:hAnsi="仿宋" w:eastAsia="仿宋"/>
          <w:sz w:val="32"/>
          <w:szCs w:val="32"/>
        </w:rPr>
      </w:pPr>
      <w:r>
        <w:rPr>
          <w:rFonts w:hint="eastAsia" w:ascii="仿宋" w:hAnsi="仿宋" w:eastAsia="仿宋"/>
          <w:sz w:val="32"/>
          <w:szCs w:val="32"/>
          <w:shd w:val="clear" w:color="auto" w:fill="FFFFFF"/>
        </w:rPr>
        <w:t>　　5.深度开发文创产品研发。围绕“打造研发队伍、突出特色产品、拓展营销渠道、做强承德品牌”，努力推进文创和旅游商品工作，鼓励创意制作符合地方文化特点的文创旅游产品，挖掘文化旅游品牌的形象价值，拓展文化旅游品牌的产业链条。</w:t>
      </w:r>
    </w:p>
    <w:p>
      <w:pPr>
        <w:pStyle w:val="8"/>
        <w:shd w:val="clear" w:color="auto" w:fill="FFFFFF"/>
        <w:spacing w:before="0" w:beforeAutospacing="0" w:after="0" w:afterAutospacing="0" w:line="600" w:lineRule="exact"/>
        <w:ind w:firstLine="672"/>
        <w:jc w:val="both"/>
        <w:rPr>
          <w:rFonts w:ascii="仿宋" w:hAnsi="仿宋" w:eastAsia="仿宋"/>
          <w:sz w:val="32"/>
          <w:szCs w:val="32"/>
          <w:shd w:val="clear" w:color="auto" w:fill="FFFFFF"/>
        </w:rPr>
      </w:pPr>
      <w:r>
        <w:rPr>
          <w:rFonts w:hint="eastAsia" w:ascii="仿宋" w:hAnsi="仿宋" w:eastAsia="仿宋"/>
          <w:sz w:val="32"/>
          <w:szCs w:val="32"/>
          <w:shd w:val="clear" w:color="auto" w:fill="FFFFFF"/>
        </w:rPr>
        <w:t>6.加强文化旅游产品的市场推广。文化旅游推广与对外文化工作相结合，在承德与其他省市、中国与其他国家举办的文化年或其他主题文化旅游交流活动中增设旅游产品和项目展示，整合各方资源，增强宣传效果，扩大国际影响。</w:t>
      </w:r>
    </w:p>
    <w:p>
      <w:pPr>
        <w:spacing w:line="600" w:lineRule="exact"/>
        <w:ind w:firstLine="640" w:firstLineChars="200"/>
        <w:jc w:val="left"/>
        <w:outlineLvl w:val="1"/>
        <w:rPr>
          <w:rFonts w:ascii="仿宋" w:hAnsi="仿宋" w:eastAsia="仿宋"/>
          <w:sz w:val="32"/>
          <w:szCs w:val="32"/>
          <w:shd w:val="clear" w:color="auto" w:fill="FFFFFF"/>
        </w:rPr>
      </w:pPr>
      <w:r>
        <w:rPr>
          <w:rFonts w:hint="eastAsia" w:ascii="仿宋" w:hAnsi="仿宋" w:eastAsia="仿宋"/>
          <w:sz w:val="32"/>
          <w:szCs w:val="32"/>
          <w:shd w:val="clear" w:color="auto" w:fill="FFFFFF"/>
        </w:rPr>
        <w:t>7.规范文化旅游市场经营秩序。深入文化市场行政执法体制改革，加强执法队伍建设，完善监管机制信息化建设，开展联合执法和日常监督检查。</w:t>
      </w:r>
    </w:p>
    <w:p>
      <w:pPr>
        <w:spacing w:line="600" w:lineRule="exact"/>
        <w:ind w:firstLine="643" w:firstLineChars="200"/>
        <w:jc w:val="left"/>
        <w:outlineLvl w:val="1"/>
        <w:rPr>
          <w:rFonts w:ascii="Times New Roman" w:hAnsi="宋体"/>
          <w:b/>
          <w:sz w:val="32"/>
          <w:szCs w:val="32"/>
        </w:rPr>
      </w:pPr>
      <w:r>
        <w:rPr>
          <w:rFonts w:hint="eastAsia" w:ascii="方正黑体_GBK" w:eastAsia="方正黑体_GBK"/>
          <w:b/>
          <w:sz w:val="32"/>
          <w:szCs w:val="32"/>
        </w:rPr>
        <w:t>（二）分项绩效目标</w:t>
      </w:r>
      <w:r>
        <w:rPr>
          <w:rFonts w:ascii="方正黑体_GBK" w:eastAsia="方正黑体_GBK"/>
          <w:b/>
          <w:sz w:val="32"/>
          <w:szCs w:val="32"/>
        </w:rPr>
        <w:fldChar w:fldCharType="begin"/>
      </w:r>
      <w:r>
        <w:rPr>
          <w:rFonts w:ascii="方正黑体_GBK" w:eastAsia="方正黑体_GBK"/>
          <w:b/>
          <w:sz w:val="32"/>
          <w:szCs w:val="32"/>
        </w:rPr>
        <w:instrText xml:space="preserve"> </w:instrText>
      </w:r>
      <w:r>
        <w:rPr>
          <w:rFonts w:hint="eastAsia" w:ascii="方正黑体_GBK" w:eastAsia="方正黑体_GBK"/>
          <w:b/>
          <w:sz w:val="32"/>
          <w:szCs w:val="32"/>
        </w:rPr>
        <w:instrText xml:space="preserve">TC </w:instrText>
      </w:r>
      <w:bookmarkStart w:id="2" w:name="_Toc28856447"/>
      <w:r>
        <w:rPr>
          <w:rFonts w:hint="eastAsia" w:ascii="方正黑体_GBK" w:eastAsia="方正黑体_GBK"/>
          <w:b/>
          <w:sz w:val="32"/>
          <w:szCs w:val="32"/>
        </w:rPr>
        <w:instrText xml:space="preserve">分项绩效目标</w:instrText>
      </w:r>
      <w:bookmarkEnd w:id="2"/>
      <w:r>
        <w:rPr>
          <w:rFonts w:hint="eastAsia" w:ascii="方正黑体_GBK" w:eastAsia="方正黑体_GBK"/>
          <w:b/>
          <w:sz w:val="32"/>
          <w:szCs w:val="32"/>
        </w:rPr>
        <w:instrText xml:space="preserve"> \f A \l 1</w:instrText>
      </w:r>
      <w:r>
        <w:rPr>
          <w:rFonts w:ascii="方正黑体_GBK" w:eastAsia="方正黑体_GBK"/>
          <w:b/>
          <w:sz w:val="32"/>
          <w:szCs w:val="32"/>
        </w:rPr>
        <w:instrText xml:space="preserve"> </w:instrText>
      </w:r>
      <w:r>
        <w:rPr>
          <w:rFonts w:ascii="方正黑体_GBK" w:eastAsia="方正黑体_GBK"/>
          <w:b/>
          <w:sz w:val="32"/>
          <w:szCs w:val="32"/>
        </w:rPr>
        <w:fldChar w:fldCharType="end"/>
      </w:r>
    </w:p>
    <w:p>
      <w:pPr>
        <w:spacing w:line="600" w:lineRule="exact"/>
        <w:ind w:firstLine="645"/>
        <w:rPr>
          <w:rFonts w:ascii="仿宋" w:hAnsi="仿宋" w:eastAsia="仿宋" w:cs="宋体"/>
          <w:b/>
          <w:kern w:val="0"/>
          <w:sz w:val="32"/>
          <w:szCs w:val="32"/>
        </w:rPr>
      </w:pPr>
      <w:r>
        <w:rPr>
          <w:rFonts w:hint="eastAsia" w:ascii="仿宋" w:hAnsi="仿宋" w:eastAsia="仿宋"/>
          <w:b/>
          <w:sz w:val="32"/>
          <w:szCs w:val="32"/>
        </w:rPr>
        <w:t>1.</w:t>
      </w:r>
      <w:r>
        <w:rPr>
          <w:rFonts w:hint="eastAsia" w:ascii="仿宋" w:hAnsi="仿宋" w:eastAsia="仿宋" w:cs="宋体"/>
          <w:b/>
          <w:kern w:val="0"/>
          <w:sz w:val="32"/>
          <w:szCs w:val="32"/>
        </w:rPr>
        <w:t xml:space="preserve"> 公共文化服务</w:t>
      </w:r>
    </w:p>
    <w:p>
      <w:pPr>
        <w:spacing w:line="600" w:lineRule="exact"/>
        <w:ind w:firstLine="645"/>
        <w:rPr>
          <w:rFonts w:ascii="仿宋" w:hAnsi="仿宋" w:eastAsia="仿宋" w:cs="宋体"/>
          <w:kern w:val="0"/>
          <w:sz w:val="32"/>
          <w:szCs w:val="32"/>
        </w:rPr>
      </w:pPr>
      <w:r>
        <w:rPr>
          <w:rFonts w:hint="eastAsia" w:ascii="仿宋" w:hAnsi="仿宋" w:eastAsia="仿宋" w:cs="宋体"/>
          <w:b/>
          <w:kern w:val="0"/>
          <w:sz w:val="32"/>
          <w:szCs w:val="32"/>
        </w:rPr>
        <w:t>绩效目标：</w:t>
      </w:r>
      <w:r>
        <w:rPr>
          <w:rFonts w:hint="eastAsia" w:ascii="仿宋" w:hAnsi="仿宋" w:eastAsia="仿宋" w:cs="宋体"/>
          <w:kern w:val="0"/>
          <w:sz w:val="32"/>
          <w:szCs w:val="32"/>
        </w:rPr>
        <w:t>规划、推动全市各级文化服务机构、设施和队伍建设，创新公共文化服务模式，建立公共文化资源共享机制，健全公共文化服务网络。组织指导公共文化产品生产，提供文化服务。</w:t>
      </w:r>
    </w:p>
    <w:p>
      <w:pPr>
        <w:spacing w:line="600" w:lineRule="exact"/>
        <w:ind w:firstLine="645"/>
        <w:rPr>
          <w:rFonts w:ascii="仿宋" w:hAnsi="仿宋" w:eastAsia="仿宋" w:cs="宋体"/>
          <w:kern w:val="0"/>
          <w:sz w:val="32"/>
          <w:szCs w:val="32"/>
        </w:rPr>
      </w:pPr>
      <w:r>
        <w:rPr>
          <w:rFonts w:ascii="仿宋" w:hAnsi="仿宋" w:eastAsia="仿宋"/>
          <w:b/>
          <w:sz w:val="32"/>
          <w:szCs w:val="32"/>
        </w:rPr>
        <w:t>绩效指标</w:t>
      </w:r>
      <w:r>
        <w:rPr>
          <w:rFonts w:ascii="仿宋" w:hAnsi="仿宋" w:eastAsia="仿宋"/>
          <w:sz w:val="32"/>
          <w:szCs w:val="32"/>
        </w:rPr>
        <w:t>：公共文化服务设施覆盖率达到</w:t>
      </w:r>
      <w:r>
        <w:rPr>
          <w:rFonts w:hint="eastAsia" w:ascii="仿宋" w:hAnsi="仿宋" w:eastAsia="仿宋"/>
          <w:sz w:val="32"/>
          <w:szCs w:val="32"/>
        </w:rPr>
        <w:t>90</w:t>
      </w:r>
      <w:r>
        <w:rPr>
          <w:rFonts w:ascii="仿宋" w:hAnsi="仿宋" w:eastAsia="仿宋"/>
          <w:sz w:val="32"/>
          <w:szCs w:val="32"/>
        </w:rPr>
        <w:t>%；选派文化工作者</w:t>
      </w:r>
      <w:r>
        <w:rPr>
          <w:rFonts w:hint="eastAsia" w:ascii="仿宋" w:hAnsi="仿宋" w:eastAsia="仿宋"/>
          <w:sz w:val="32"/>
          <w:szCs w:val="32"/>
        </w:rPr>
        <w:t>90</w:t>
      </w:r>
      <w:r>
        <w:rPr>
          <w:rFonts w:ascii="仿宋" w:hAnsi="仿宋" w:eastAsia="仿宋"/>
          <w:sz w:val="32"/>
          <w:szCs w:val="32"/>
        </w:rPr>
        <w:t>人；培养文化工作者</w:t>
      </w:r>
      <w:r>
        <w:rPr>
          <w:rFonts w:hint="eastAsia" w:ascii="仿宋" w:hAnsi="仿宋" w:eastAsia="仿宋"/>
          <w:sz w:val="32"/>
          <w:szCs w:val="32"/>
        </w:rPr>
        <w:t>60</w:t>
      </w:r>
      <w:r>
        <w:rPr>
          <w:rFonts w:ascii="仿宋" w:hAnsi="仿宋" w:eastAsia="仿宋"/>
          <w:sz w:val="32"/>
          <w:szCs w:val="32"/>
        </w:rPr>
        <w:t>人；全民阅读率达到</w:t>
      </w:r>
      <w:r>
        <w:rPr>
          <w:rFonts w:hint="eastAsia" w:ascii="仿宋" w:hAnsi="仿宋" w:eastAsia="仿宋"/>
          <w:sz w:val="32"/>
          <w:szCs w:val="32"/>
        </w:rPr>
        <w:t>40</w:t>
      </w:r>
      <w:r>
        <w:rPr>
          <w:rFonts w:ascii="仿宋" w:hAnsi="仿宋" w:eastAsia="仿宋"/>
          <w:sz w:val="32"/>
          <w:szCs w:val="32"/>
        </w:rPr>
        <w:t>%。</w:t>
      </w:r>
    </w:p>
    <w:p>
      <w:pPr>
        <w:spacing w:line="600" w:lineRule="exact"/>
        <w:ind w:firstLine="645"/>
        <w:rPr>
          <w:rFonts w:ascii="仿宋" w:hAnsi="仿宋" w:eastAsia="仿宋" w:cs="宋体"/>
          <w:b/>
          <w:kern w:val="0"/>
          <w:sz w:val="32"/>
          <w:szCs w:val="32"/>
        </w:rPr>
      </w:pPr>
      <w:r>
        <w:rPr>
          <w:rFonts w:hint="eastAsia" w:ascii="仿宋" w:hAnsi="仿宋" w:eastAsia="仿宋" w:cs="宋体"/>
          <w:b/>
          <w:kern w:val="0"/>
          <w:sz w:val="32"/>
          <w:szCs w:val="32"/>
        </w:rPr>
        <w:t>2.文化艺术资源建设</w:t>
      </w:r>
    </w:p>
    <w:p>
      <w:pPr>
        <w:spacing w:line="600" w:lineRule="exact"/>
        <w:ind w:firstLine="645"/>
        <w:rPr>
          <w:rFonts w:ascii="仿宋" w:hAnsi="仿宋" w:eastAsia="仿宋" w:cs="宋体"/>
          <w:kern w:val="0"/>
          <w:sz w:val="32"/>
          <w:szCs w:val="32"/>
        </w:rPr>
      </w:pPr>
      <w:r>
        <w:rPr>
          <w:rFonts w:hint="eastAsia" w:ascii="仿宋" w:hAnsi="仿宋" w:eastAsia="仿宋" w:cs="宋体"/>
          <w:b/>
          <w:kern w:val="0"/>
          <w:sz w:val="32"/>
          <w:szCs w:val="32"/>
        </w:rPr>
        <w:t>绩效目标：</w:t>
      </w:r>
      <w:r>
        <w:rPr>
          <w:rFonts w:hint="eastAsia" w:ascii="仿宋" w:hAnsi="仿宋" w:eastAsia="仿宋" w:cs="宋体"/>
          <w:kern w:val="0"/>
          <w:sz w:val="32"/>
          <w:szCs w:val="32"/>
        </w:rPr>
        <w:t>管理、指导公共图书馆等文化机构开展收藏、收集和保存工作；收藏、整理保管各类型资源文献、文化艺术作品和档案资料等；推广数字化建设和资源共享。</w:t>
      </w:r>
    </w:p>
    <w:p>
      <w:pPr>
        <w:spacing w:line="600" w:lineRule="exact"/>
        <w:ind w:firstLine="643" w:firstLineChars="200"/>
        <w:jc w:val="left"/>
        <w:rPr>
          <w:rFonts w:ascii="仿宋" w:hAnsi="仿宋" w:eastAsia="仿宋"/>
          <w:sz w:val="32"/>
          <w:szCs w:val="32"/>
        </w:rPr>
      </w:pPr>
      <w:r>
        <w:rPr>
          <w:rFonts w:ascii="仿宋" w:hAnsi="仿宋" w:eastAsia="仿宋"/>
          <w:b/>
          <w:sz w:val="32"/>
          <w:szCs w:val="32"/>
        </w:rPr>
        <w:t>绩效指标</w:t>
      </w:r>
      <w:r>
        <w:rPr>
          <w:rFonts w:ascii="仿宋" w:hAnsi="仿宋" w:eastAsia="仿宋"/>
          <w:sz w:val="32"/>
          <w:szCs w:val="32"/>
        </w:rPr>
        <w:t>：收集品入藏率达到90%；收藏及保管物品完好率达到95%；仓储设施设备及环境完好率达到90%。</w:t>
      </w:r>
    </w:p>
    <w:p>
      <w:pPr>
        <w:spacing w:line="600" w:lineRule="exact"/>
        <w:ind w:firstLine="645"/>
        <w:rPr>
          <w:rFonts w:ascii="仿宋" w:hAnsi="仿宋" w:eastAsia="仿宋" w:cs="宋体"/>
          <w:b/>
          <w:kern w:val="0"/>
          <w:sz w:val="32"/>
          <w:szCs w:val="32"/>
        </w:rPr>
      </w:pPr>
      <w:r>
        <w:rPr>
          <w:rFonts w:hint="eastAsia" w:ascii="仿宋" w:hAnsi="仿宋" w:eastAsia="仿宋" w:cs="宋体"/>
          <w:b/>
          <w:kern w:val="0"/>
          <w:sz w:val="32"/>
          <w:szCs w:val="32"/>
        </w:rPr>
        <w:t>3.文化艺术生产</w:t>
      </w:r>
    </w:p>
    <w:p>
      <w:pPr>
        <w:spacing w:line="600" w:lineRule="exact"/>
        <w:ind w:firstLine="645"/>
        <w:rPr>
          <w:rFonts w:ascii="仿宋" w:hAnsi="仿宋" w:eastAsia="仿宋" w:cs="宋体"/>
          <w:kern w:val="0"/>
          <w:sz w:val="32"/>
          <w:szCs w:val="32"/>
        </w:rPr>
      </w:pPr>
      <w:r>
        <w:rPr>
          <w:rFonts w:hint="eastAsia" w:ascii="仿宋" w:hAnsi="仿宋" w:eastAsia="仿宋" w:cs="宋体"/>
          <w:b/>
          <w:kern w:val="0"/>
          <w:sz w:val="32"/>
          <w:szCs w:val="32"/>
        </w:rPr>
        <w:t>绩效目标：</w:t>
      </w:r>
      <w:r>
        <w:rPr>
          <w:rFonts w:hint="eastAsia" w:ascii="仿宋" w:hAnsi="仿宋" w:eastAsia="仿宋" w:cs="宋体"/>
          <w:kern w:val="0"/>
          <w:sz w:val="32"/>
          <w:szCs w:val="32"/>
        </w:rPr>
        <w:t>加强艺术教育和文化科研建设，指导、推动文化艺术创作生产和展览展示，组织举办各类文化艺术活动。</w:t>
      </w:r>
    </w:p>
    <w:p>
      <w:pPr>
        <w:spacing w:line="600" w:lineRule="exact"/>
        <w:ind w:firstLine="643" w:firstLineChars="200"/>
        <w:jc w:val="left"/>
        <w:rPr>
          <w:rFonts w:ascii="仿宋" w:hAnsi="仿宋" w:eastAsia="仿宋" w:cs="宋体"/>
          <w:kern w:val="0"/>
          <w:sz w:val="32"/>
          <w:szCs w:val="32"/>
        </w:rPr>
      </w:pPr>
      <w:r>
        <w:rPr>
          <w:rFonts w:ascii="仿宋" w:hAnsi="仿宋" w:eastAsia="仿宋"/>
          <w:b/>
          <w:sz w:val="32"/>
          <w:szCs w:val="32"/>
        </w:rPr>
        <w:t>绩效指标：</w:t>
      </w:r>
      <w:r>
        <w:rPr>
          <w:rFonts w:ascii="仿宋" w:hAnsi="仿宋" w:eastAsia="仿宋"/>
          <w:sz w:val="32"/>
          <w:szCs w:val="32"/>
        </w:rPr>
        <w:t>舞台艺术作品创作</w:t>
      </w:r>
      <w:r>
        <w:rPr>
          <w:rFonts w:hint="eastAsia" w:ascii="仿宋" w:hAnsi="仿宋" w:eastAsia="仿宋"/>
          <w:sz w:val="32"/>
          <w:szCs w:val="32"/>
        </w:rPr>
        <w:t>1</w:t>
      </w:r>
      <w:r>
        <w:rPr>
          <w:rFonts w:ascii="仿宋" w:hAnsi="仿宋" w:eastAsia="仿宋"/>
          <w:sz w:val="32"/>
          <w:szCs w:val="32"/>
        </w:rPr>
        <w:t>台；舞台艺术作品演出</w:t>
      </w:r>
      <w:r>
        <w:rPr>
          <w:rFonts w:hint="eastAsia" w:ascii="仿宋" w:hAnsi="仿宋" w:eastAsia="仿宋"/>
          <w:sz w:val="32"/>
          <w:szCs w:val="32"/>
        </w:rPr>
        <w:t>1</w:t>
      </w:r>
      <w:r>
        <w:rPr>
          <w:rFonts w:ascii="仿宋" w:hAnsi="仿宋" w:eastAsia="仿宋"/>
          <w:sz w:val="32"/>
          <w:szCs w:val="32"/>
        </w:rPr>
        <w:t>台；</w:t>
      </w:r>
      <w:r>
        <w:rPr>
          <w:rFonts w:hint="eastAsia" w:ascii="仿宋" w:hAnsi="仿宋" w:eastAsia="仿宋"/>
          <w:sz w:val="32"/>
          <w:szCs w:val="32"/>
        </w:rPr>
        <w:t>文化惠民“七进”千场演出活动；对外文化交流1场次。</w:t>
      </w:r>
    </w:p>
    <w:p>
      <w:pPr>
        <w:spacing w:line="600" w:lineRule="exact"/>
        <w:ind w:firstLine="645"/>
        <w:rPr>
          <w:rFonts w:ascii="仿宋" w:hAnsi="仿宋" w:eastAsia="仿宋" w:cs="宋体"/>
          <w:b/>
          <w:kern w:val="0"/>
          <w:sz w:val="32"/>
          <w:szCs w:val="32"/>
        </w:rPr>
      </w:pPr>
      <w:r>
        <w:rPr>
          <w:rFonts w:hint="eastAsia" w:ascii="仿宋" w:hAnsi="仿宋" w:eastAsia="仿宋" w:cs="宋体"/>
          <w:b/>
          <w:kern w:val="0"/>
          <w:sz w:val="32"/>
          <w:szCs w:val="32"/>
        </w:rPr>
        <w:t>4.文化交流合作</w:t>
      </w:r>
    </w:p>
    <w:p>
      <w:pPr>
        <w:spacing w:line="600" w:lineRule="exact"/>
        <w:ind w:firstLine="645"/>
        <w:rPr>
          <w:rFonts w:ascii="仿宋" w:hAnsi="仿宋" w:eastAsia="仿宋" w:cs="宋体"/>
          <w:kern w:val="0"/>
          <w:sz w:val="32"/>
          <w:szCs w:val="32"/>
        </w:rPr>
      </w:pPr>
      <w:r>
        <w:rPr>
          <w:rFonts w:hint="eastAsia" w:ascii="仿宋" w:hAnsi="仿宋" w:eastAsia="仿宋" w:cs="宋体"/>
          <w:b/>
          <w:kern w:val="0"/>
          <w:sz w:val="32"/>
          <w:szCs w:val="32"/>
        </w:rPr>
        <w:t>绩效目标</w:t>
      </w:r>
      <w:r>
        <w:rPr>
          <w:rFonts w:hint="eastAsia" w:ascii="仿宋" w:hAnsi="仿宋" w:eastAsia="仿宋" w:cs="宋体"/>
          <w:kern w:val="0"/>
          <w:sz w:val="32"/>
          <w:szCs w:val="32"/>
        </w:rPr>
        <w:t>：利用各种对外文化交流平台开展合作，宣传推介本市文化艺术资源，提升对外交流水平。</w:t>
      </w:r>
    </w:p>
    <w:p>
      <w:pPr>
        <w:spacing w:line="600" w:lineRule="exact"/>
        <w:ind w:firstLine="643" w:firstLineChars="200"/>
        <w:jc w:val="left"/>
        <w:rPr>
          <w:rFonts w:ascii="仿宋" w:hAnsi="仿宋" w:eastAsia="仿宋"/>
          <w:sz w:val="32"/>
          <w:szCs w:val="32"/>
        </w:rPr>
      </w:pPr>
      <w:r>
        <w:rPr>
          <w:rFonts w:ascii="仿宋" w:hAnsi="仿宋" w:eastAsia="仿宋"/>
          <w:b/>
          <w:sz w:val="32"/>
          <w:szCs w:val="32"/>
        </w:rPr>
        <w:t>绩效指标</w:t>
      </w:r>
      <w:r>
        <w:rPr>
          <w:rFonts w:ascii="仿宋" w:hAnsi="仿宋" w:eastAsia="仿宋"/>
          <w:sz w:val="32"/>
          <w:szCs w:val="32"/>
        </w:rPr>
        <w:t>：</w:t>
      </w:r>
      <w:r>
        <w:rPr>
          <w:rFonts w:hint="eastAsia" w:ascii="仿宋" w:hAnsi="仿宋" w:eastAsia="仿宋"/>
          <w:sz w:val="32"/>
          <w:szCs w:val="32"/>
        </w:rPr>
        <w:t>境外游客增长率达到4%</w:t>
      </w:r>
      <w:r>
        <w:rPr>
          <w:rFonts w:ascii="仿宋" w:hAnsi="仿宋" w:eastAsia="仿宋"/>
          <w:sz w:val="32"/>
          <w:szCs w:val="32"/>
        </w:rPr>
        <w:t>；文化交流次数</w:t>
      </w:r>
      <w:r>
        <w:rPr>
          <w:rFonts w:hint="eastAsia" w:ascii="仿宋" w:hAnsi="仿宋" w:eastAsia="仿宋"/>
          <w:sz w:val="32"/>
          <w:szCs w:val="32"/>
        </w:rPr>
        <w:t>2</w:t>
      </w:r>
      <w:r>
        <w:rPr>
          <w:rFonts w:ascii="仿宋" w:hAnsi="仿宋" w:eastAsia="仿宋"/>
          <w:sz w:val="32"/>
          <w:szCs w:val="32"/>
        </w:rPr>
        <w:t>次。</w:t>
      </w:r>
    </w:p>
    <w:p>
      <w:pPr>
        <w:spacing w:line="600" w:lineRule="exact"/>
        <w:ind w:firstLine="645"/>
        <w:rPr>
          <w:rFonts w:ascii="仿宋" w:hAnsi="仿宋" w:eastAsia="仿宋" w:cs="宋体"/>
          <w:b/>
          <w:kern w:val="0"/>
          <w:sz w:val="32"/>
          <w:szCs w:val="32"/>
        </w:rPr>
      </w:pPr>
      <w:r>
        <w:rPr>
          <w:rFonts w:hint="eastAsia" w:ascii="仿宋" w:hAnsi="仿宋" w:eastAsia="仿宋" w:cs="宋体"/>
          <w:b/>
          <w:kern w:val="0"/>
          <w:sz w:val="32"/>
          <w:szCs w:val="32"/>
        </w:rPr>
        <w:t>5. 文化宣传推介。</w:t>
      </w:r>
    </w:p>
    <w:p>
      <w:pPr>
        <w:spacing w:line="600" w:lineRule="exact"/>
        <w:ind w:firstLine="645"/>
        <w:rPr>
          <w:rFonts w:ascii="仿宋" w:hAnsi="仿宋" w:eastAsia="仿宋" w:cs="宋体"/>
          <w:kern w:val="0"/>
          <w:sz w:val="32"/>
          <w:szCs w:val="32"/>
        </w:rPr>
      </w:pPr>
      <w:r>
        <w:rPr>
          <w:rFonts w:hint="eastAsia" w:ascii="仿宋" w:hAnsi="仿宋" w:eastAsia="仿宋" w:cs="宋体"/>
          <w:b/>
          <w:kern w:val="0"/>
          <w:sz w:val="32"/>
          <w:szCs w:val="32"/>
        </w:rPr>
        <w:t>绩效目标：</w:t>
      </w:r>
      <w:r>
        <w:rPr>
          <w:rFonts w:hint="eastAsia" w:ascii="仿宋" w:hAnsi="仿宋" w:eastAsia="仿宋" w:cs="宋体"/>
          <w:kern w:val="0"/>
          <w:sz w:val="32"/>
          <w:szCs w:val="32"/>
        </w:rPr>
        <w:t>积极参加国家省市大型文化旅游推介活动，大力宣传推介我市优秀文化旅游产品，对本市文化进行综合宣传推介，提升承德文化旅游知名度和影响力。</w:t>
      </w:r>
    </w:p>
    <w:p>
      <w:pPr>
        <w:spacing w:line="600" w:lineRule="exact"/>
        <w:ind w:firstLine="643" w:firstLineChars="200"/>
        <w:jc w:val="left"/>
        <w:rPr>
          <w:rFonts w:ascii="仿宋" w:hAnsi="仿宋" w:eastAsia="仿宋"/>
          <w:sz w:val="32"/>
          <w:szCs w:val="32"/>
        </w:rPr>
      </w:pPr>
      <w:r>
        <w:rPr>
          <w:rFonts w:ascii="仿宋" w:hAnsi="仿宋" w:eastAsia="仿宋"/>
          <w:b/>
          <w:sz w:val="32"/>
          <w:szCs w:val="32"/>
        </w:rPr>
        <w:t>绩效指标：</w:t>
      </w:r>
      <w:r>
        <w:rPr>
          <w:rFonts w:hint="eastAsia" w:ascii="仿宋" w:hAnsi="仿宋" w:eastAsia="仿宋"/>
          <w:sz w:val="32"/>
          <w:szCs w:val="32"/>
        </w:rPr>
        <w:t>参加市外文化旅游推介活动不少于4次</w:t>
      </w:r>
      <w:r>
        <w:rPr>
          <w:rFonts w:ascii="仿宋" w:hAnsi="仿宋" w:eastAsia="仿宋"/>
          <w:sz w:val="32"/>
          <w:szCs w:val="32"/>
        </w:rPr>
        <w:t>；</w:t>
      </w:r>
      <w:r>
        <w:rPr>
          <w:rFonts w:hint="eastAsia" w:ascii="仿宋" w:hAnsi="仿宋" w:eastAsia="仿宋"/>
          <w:sz w:val="32"/>
          <w:szCs w:val="32"/>
        </w:rPr>
        <w:t>发放宣传品宣传册不少于8000份</w:t>
      </w:r>
      <w:r>
        <w:rPr>
          <w:rFonts w:ascii="仿宋" w:hAnsi="仿宋" w:eastAsia="仿宋"/>
          <w:sz w:val="32"/>
          <w:szCs w:val="32"/>
        </w:rPr>
        <w:t>。</w:t>
      </w:r>
    </w:p>
    <w:p>
      <w:pPr>
        <w:spacing w:line="60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6.文化保护。</w:t>
      </w:r>
    </w:p>
    <w:p>
      <w:pPr>
        <w:spacing w:line="600" w:lineRule="exact"/>
        <w:ind w:firstLine="643" w:firstLineChars="200"/>
        <w:jc w:val="left"/>
        <w:rPr>
          <w:rFonts w:ascii="仿宋" w:hAnsi="仿宋" w:eastAsia="仿宋"/>
          <w:sz w:val="32"/>
          <w:szCs w:val="32"/>
        </w:rPr>
      </w:pPr>
      <w:r>
        <w:rPr>
          <w:rFonts w:ascii="仿宋" w:hAnsi="仿宋" w:eastAsia="仿宋"/>
          <w:b/>
          <w:sz w:val="32"/>
          <w:szCs w:val="32"/>
        </w:rPr>
        <w:t>绩效目标</w:t>
      </w:r>
      <w:r>
        <w:rPr>
          <w:rFonts w:ascii="仿宋" w:hAnsi="仿宋" w:eastAsia="仿宋"/>
          <w:sz w:val="32"/>
          <w:szCs w:val="32"/>
        </w:rPr>
        <w:t>：对</w:t>
      </w:r>
      <w:r>
        <w:rPr>
          <w:rFonts w:hint="eastAsia" w:ascii="仿宋" w:hAnsi="仿宋" w:eastAsia="仿宋"/>
          <w:sz w:val="32"/>
          <w:szCs w:val="32"/>
        </w:rPr>
        <w:t>已</w:t>
      </w:r>
      <w:r>
        <w:rPr>
          <w:rFonts w:ascii="仿宋" w:hAnsi="仿宋" w:eastAsia="仿宋"/>
          <w:sz w:val="32"/>
          <w:szCs w:val="32"/>
        </w:rPr>
        <w:t>列入</w:t>
      </w:r>
      <w:r>
        <w:rPr>
          <w:rFonts w:hint="eastAsia" w:ascii="仿宋" w:hAnsi="仿宋" w:eastAsia="仿宋"/>
          <w:sz w:val="32"/>
          <w:szCs w:val="32"/>
        </w:rPr>
        <w:t>市</w:t>
      </w:r>
      <w:r>
        <w:rPr>
          <w:rFonts w:ascii="仿宋" w:hAnsi="仿宋" w:eastAsia="仿宋"/>
          <w:sz w:val="32"/>
          <w:szCs w:val="32"/>
        </w:rPr>
        <w:t>级非遗名录的</w:t>
      </w:r>
      <w:r>
        <w:rPr>
          <w:rFonts w:hint="eastAsia" w:ascii="仿宋" w:hAnsi="仿宋" w:eastAsia="仿宋"/>
          <w:sz w:val="32"/>
          <w:szCs w:val="32"/>
        </w:rPr>
        <w:t>项目</w:t>
      </w:r>
      <w:r>
        <w:rPr>
          <w:rFonts w:ascii="仿宋" w:hAnsi="仿宋" w:eastAsia="仿宋"/>
          <w:sz w:val="32"/>
          <w:szCs w:val="32"/>
        </w:rPr>
        <w:t>进行补助，使非遗得到较好保护，展示我</w:t>
      </w:r>
      <w:r>
        <w:rPr>
          <w:rFonts w:hint="eastAsia" w:ascii="仿宋" w:hAnsi="仿宋" w:eastAsia="仿宋"/>
          <w:sz w:val="32"/>
          <w:szCs w:val="32"/>
        </w:rPr>
        <w:t>市</w:t>
      </w:r>
      <w:r>
        <w:rPr>
          <w:rFonts w:ascii="仿宋" w:hAnsi="仿宋" w:eastAsia="仿宋"/>
          <w:sz w:val="32"/>
          <w:szCs w:val="32"/>
        </w:rPr>
        <w:t>优厚文化底蕴</w:t>
      </w:r>
      <w:r>
        <w:rPr>
          <w:rFonts w:hint="eastAsia" w:ascii="仿宋" w:hAnsi="仿宋" w:eastAsia="仿宋"/>
          <w:sz w:val="32"/>
          <w:szCs w:val="32"/>
        </w:rPr>
        <w:t>；</w:t>
      </w:r>
      <w:r>
        <w:rPr>
          <w:rFonts w:ascii="仿宋" w:hAnsi="仿宋" w:eastAsia="仿宋"/>
          <w:sz w:val="32"/>
          <w:szCs w:val="32"/>
        </w:rPr>
        <w:t>补助</w:t>
      </w:r>
      <w:r>
        <w:rPr>
          <w:rFonts w:hint="eastAsia" w:ascii="仿宋" w:hAnsi="仿宋" w:eastAsia="仿宋"/>
          <w:sz w:val="32"/>
          <w:szCs w:val="32"/>
        </w:rPr>
        <w:t>市</w:t>
      </w:r>
      <w:r>
        <w:rPr>
          <w:rFonts w:ascii="仿宋" w:hAnsi="仿宋" w:eastAsia="仿宋"/>
          <w:sz w:val="32"/>
          <w:szCs w:val="32"/>
        </w:rPr>
        <w:t>级非遗代表性传承人</w:t>
      </w:r>
      <w:r>
        <w:rPr>
          <w:rFonts w:hint="eastAsia" w:ascii="仿宋" w:hAnsi="仿宋" w:eastAsia="仿宋"/>
          <w:sz w:val="32"/>
          <w:szCs w:val="32"/>
        </w:rPr>
        <w:t>167</w:t>
      </w:r>
      <w:r>
        <w:rPr>
          <w:rFonts w:ascii="仿宋" w:hAnsi="仿宋" w:eastAsia="仿宋"/>
          <w:sz w:val="32"/>
          <w:szCs w:val="32"/>
        </w:rPr>
        <w:t>人，组织传承人群开展研修、研习培训，进一步调动</w:t>
      </w:r>
      <w:r>
        <w:rPr>
          <w:rFonts w:hint="eastAsia" w:ascii="仿宋" w:hAnsi="仿宋" w:eastAsia="仿宋"/>
          <w:sz w:val="32"/>
          <w:szCs w:val="32"/>
        </w:rPr>
        <w:t>市</w:t>
      </w:r>
      <w:r>
        <w:rPr>
          <w:rFonts w:ascii="仿宋" w:hAnsi="仿宋" w:eastAsia="仿宋"/>
          <w:sz w:val="32"/>
          <w:szCs w:val="32"/>
        </w:rPr>
        <w:t>级非遗代表传承人进行技艺传承的积极性，提升传承人群创造性转化，创新性发展能力</w:t>
      </w:r>
      <w:r>
        <w:rPr>
          <w:rFonts w:hint="eastAsia" w:ascii="仿宋" w:hAnsi="仿宋" w:eastAsia="仿宋"/>
          <w:sz w:val="32"/>
          <w:szCs w:val="32"/>
        </w:rPr>
        <w:t>；</w:t>
      </w:r>
      <w:r>
        <w:rPr>
          <w:rFonts w:ascii="仿宋" w:hAnsi="仿宋" w:eastAsia="仿宋"/>
          <w:sz w:val="32"/>
          <w:szCs w:val="32"/>
        </w:rPr>
        <w:t>组织开展河北省</w:t>
      </w:r>
      <w:r>
        <w:rPr>
          <w:rFonts w:hint="eastAsia" w:ascii="仿宋" w:hAnsi="仿宋" w:eastAsia="仿宋"/>
          <w:sz w:val="32"/>
          <w:szCs w:val="32"/>
        </w:rPr>
        <w:t>及我市</w:t>
      </w:r>
      <w:r>
        <w:rPr>
          <w:rFonts w:ascii="仿宋" w:hAnsi="仿宋" w:eastAsia="仿宋"/>
          <w:sz w:val="32"/>
          <w:szCs w:val="32"/>
        </w:rPr>
        <w:t>非遗宣传展示活动，让具有历史、文学、艺术、科学价值的非物质文化遗产得到传承、传播，提升社会公众保护非物质文化遗产意识，凝聚社会共识</w:t>
      </w:r>
      <w:r>
        <w:rPr>
          <w:rFonts w:hint="eastAsia" w:ascii="仿宋" w:hAnsi="仿宋" w:eastAsia="仿宋"/>
          <w:sz w:val="32"/>
          <w:szCs w:val="32"/>
        </w:rPr>
        <w:t>；加大</w:t>
      </w:r>
      <w:r>
        <w:rPr>
          <w:rFonts w:ascii="仿宋" w:hAnsi="仿宋" w:eastAsia="仿宋"/>
          <w:sz w:val="32"/>
          <w:szCs w:val="32"/>
        </w:rPr>
        <w:t>对</w:t>
      </w:r>
      <w:r>
        <w:rPr>
          <w:rFonts w:hint="eastAsia" w:ascii="仿宋" w:hAnsi="仿宋" w:eastAsia="仿宋"/>
          <w:sz w:val="32"/>
          <w:szCs w:val="32"/>
        </w:rPr>
        <w:t>全市</w:t>
      </w:r>
      <w:r>
        <w:rPr>
          <w:rFonts w:ascii="仿宋" w:hAnsi="仿宋" w:eastAsia="仿宋"/>
          <w:sz w:val="32"/>
          <w:szCs w:val="32"/>
        </w:rPr>
        <w:t>的非遗项目进行普查研究，制定保护规划，更好</w:t>
      </w:r>
      <w:r>
        <w:rPr>
          <w:rFonts w:hint="eastAsia" w:ascii="仿宋" w:hAnsi="仿宋" w:eastAsia="仿宋"/>
          <w:sz w:val="32"/>
          <w:szCs w:val="32"/>
        </w:rPr>
        <w:t>地</w:t>
      </w:r>
      <w:r>
        <w:rPr>
          <w:rFonts w:ascii="仿宋" w:hAnsi="仿宋" w:eastAsia="仿宋"/>
          <w:sz w:val="32"/>
          <w:szCs w:val="32"/>
        </w:rPr>
        <w:t>保护好</w:t>
      </w:r>
      <w:r>
        <w:rPr>
          <w:rFonts w:hint="eastAsia" w:ascii="仿宋" w:hAnsi="仿宋" w:eastAsia="仿宋"/>
          <w:sz w:val="32"/>
          <w:szCs w:val="32"/>
        </w:rPr>
        <w:t>、</w:t>
      </w:r>
      <w:r>
        <w:rPr>
          <w:rFonts w:ascii="仿宋" w:hAnsi="仿宋" w:eastAsia="仿宋"/>
          <w:sz w:val="32"/>
          <w:szCs w:val="32"/>
        </w:rPr>
        <w:t>传承好</w:t>
      </w:r>
      <w:r>
        <w:rPr>
          <w:rFonts w:hint="eastAsia" w:ascii="仿宋" w:hAnsi="仿宋" w:eastAsia="仿宋"/>
          <w:sz w:val="32"/>
          <w:szCs w:val="32"/>
        </w:rPr>
        <w:t>、</w:t>
      </w:r>
      <w:r>
        <w:rPr>
          <w:rFonts w:ascii="仿宋" w:hAnsi="仿宋" w:eastAsia="仿宋"/>
          <w:sz w:val="32"/>
          <w:szCs w:val="32"/>
        </w:rPr>
        <w:t>利用好非物质文化遗产资源。</w:t>
      </w:r>
    </w:p>
    <w:p>
      <w:pPr>
        <w:spacing w:line="600" w:lineRule="exact"/>
        <w:ind w:firstLine="643" w:firstLineChars="200"/>
        <w:jc w:val="left"/>
        <w:rPr>
          <w:rFonts w:ascii="仿宋" w:hAnsi="仿宋" w:eastAsia="仿宋"/>
          <w:sz w:val="32"/>
          <w:szCs w:val="32"/>
        </w:rPr>
      </w:pPr>
      <w:r>
        <w:rPr>
          <w:rFonts w:ascii="仿宋" w:hAnsi="仿宋" w:eastAsia="仿宋"/>
          <w:b/>
          <w:sz w:val="32"/>
          <w:szCs w:val="32"/>
        </w:rPr>
        <w:t>绩效指标</w:t>
      </w:r>
      <w:r>
        <w:rPr>
          <w:rFonts w:ascii="仿宋" w:hAnsi="仿宋" w:eastAsia="仿宋"/>
          <w:sz w:val="32"/>
          <w:szCs w:val="32"/>
        </w:rPr>
        <w:t>：河北省</w:t>
      </w:r>
      <w:r>
        <w:rPr>
          <w:rFonts w:hint="eastAsia" w:ascii="仿宋" w:hAnsi="仿宋" w:eastAsia="仿宋"/>
          <w:sz w:val="32"/>
          <w:szCs w:val="32"/>
        </w:rPr>
        <w:t>、承德市</w:t>
      </w:r>
      <w:r>
        <w:rPr>
          <w:rFonts w:ascii="仿宋" w:hAnsi="仿宋" w:eastAsia="仿宋"/>
          <w:sz w:val="32"/>
          <w:szCs w:val="32"/>
        </w:rPr>
        <w:t>民俗文化节参展项目达到</w:t>
      </w:r>
      <w:r>
        <w:rPr>
          <w:rFonts w:hint="eastAsia" w:ascii="仿宋" w:hAnsi="仿宋" w:eastAsia="仿宋"/>
          <w:sz w:val="32"/>
          <w:szCs w:val="32"/>
        </w:rPr>
        <w:t>20</w:t>
      </w:r>
      <w:r>
        <w:rPr>
          <w:rFonts w:ascii="仿宋" w:hAnsi="仿宋" w:eastAsia="仿宋"/>
          <w:sz w:val="32"/>
          <w:szCs w:val="32"/>
        </w:rPr>
        <w:t>个；普查非遗项目</w:t>
      </w:r>
      <w:r>
        <w:rPr>
          <w:rFonts w:hint="eastAsia" w:ascii="仿宋" w:hAnsi="仿宋" w:eastAsia="仿宋"/>
          <w:sz w:val="32"/>
          <w:szCs w:val="32"/>
        </w:rPr>
        <w:t>30</w:t>
      </w:r>
      <w:r>
        <w:rPr>
          <w:rFonts w:ascii="仿宋" w:hAnsi="仿宋" w:eastAsia="仿宋"/>
          <w:sz w:val="32"/>
          <w:szCs w:val="32"/>
        </w:rPr>
        <w:t>个；补助非遗项目</w:t>
      </w:r>
      <w:r>
        <w:rPr>
          <w:rFonts w:hint="eastAsia" w:ascii="仿宋" w:hAnsi="仿宋" w:eastAsia="仿宋"/>
          <w:sz w:val="32"/>
          <w:szCs w:val="32"/>
        </w:rPr>
        <w:t>167</w:t>
      </w:r>
      <w:r>
        <w:rPr>
          <w:rFonts w:ascii="仿宋" w:hAnsi="仿宋" w:eastAsia="仿宋"/>
          <w:sz w:val="32"/>
          <w:szCs w:val="32"/>
        </w:rPr>
        <w:t>个；河北省</w:t>
      </w:r>
      <w:r>
        <w:rPr>
          <w:rFonts w:hint="eastAsia" w:ascii="仿宋" w:hAnsi="仿宋" w:eastAsia="仿宋"/>
          <w:sz w:val="32"/>
          <w:szCs w:val="32"/>
        </w:rPr>
        <w:t>及我市</w:t>
      </w:r>
      <w:r>
        <w:rPr>
          <w:rFonts w:ascii="仿宋" w:hAnsi="仿宋" w:eastAsia="仿宋"/>
          <w:sz w:val="32"/>
          <w:szCs w:val="32"/>
        </w:rPr>
        <w:t>民俗文化节参与人数</w:t>
      </w:r>
      <w:r>
        <w:rPr>
          <w:rFonts w:hint="eastAsia" w:ascii="仿宋" w:hAnsi="仿宋" w:eastAsia="仿宋"/>
          <w:sz w:val="32"/>
          <w:szCs w:val="32"/>
        </w:rPr>
        <w:t>100</w:t>
      </w:r>
      <w:r>
        <w:rPr>
          <w:rFonts w:ascii="仿宋" w:hAnsi="仿宋" w:eastAsia="仿宋"/>
          <w:sz w:val="32"/>
          <w:szCs w:val="32"/>
        </w:rPr>
        <w:t>人；参加研修班</w:t>
      </w:r>
      <w:r>
        <w:rPr>
          <w:rFonts w:hint="eastAsia" w:ascii="仿宋" w:hAnsi="仿宋" w:eastAsia="仿宋"/>
          <w:sz w:val="32"/>
          <w:szCs w:val="32"/>
        </w:rPr>
        <w:t>50人</w:t>
      </w:r>
      <w:r>
        <w:rPr>
          <w:rFonts w:ascii="仿宋" w:hAnsi="仿宋" w:eastAsia="仿宋"/>
          <w:sz w:val="32"/>
          <w:szCs w:val="32"/>
        </w:rPr>
        <w:t>次；</w:t>
      </w:r>
      <w:r>
        <w:rPr>
          <w:rFonts w:hint="eastAsia" w:ascii="仿宋" w:hAnsi="仿宋" w:eastAsia="仿宋"/>
          <w:sz w:val="32"/>
          <w:szCs w:val="32"/>
        </w:rPr>
        <w:t>编写非遗研究理论成果出版物1000册</w:t>
      </w:r>
      <w:r>
        <w:rPr>
          <w:rFonts w:ascii="仿宋" w:hAnsi="仿宋" w:eastAsia="仿宋"/>
          <w:sz w:val="32"/>
          <w:szCs w:val="32"/>
        </w:rPr>
        <w:t>；</w:t>
      </w:r>
    </w:p>
    <w:p>
      <w:pPr>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7.</w:t>
      </w:r>
      <w:r>
        <w:rPr>
          <w:rFonts w:hint="eastAsia" w:ascii="仿宋" w:hAnsi="仿宋" w:eastAsia="仿宋" w:cs="宋体"/>
          <w:b/>
          <w:kern w:val="0"/>
          <w:sz w:val="32"/>
          <w:szCs w:val="32"/>
        </w:rPr>
        <w:t>广播影视、网络视听和公共视听载体节目制作播出。</w:t>
      </w:r>
    </w:p>
    <w:p>
      <w:pPr>
        <w:pStyle w:val="8"/>
        <w:spacing w:before="0" w:beforeAutospacing="0" w:after="0" w:afterAutospacing="0" w:line="600" w:lineRule="exact"/>
        <w:ind w:firstLine="643" w:firstLineChars="200"/>
        <w:rPr>
          <w:rFonts w:ascii="仿宋" w:hAnsi="仿宋" w:eastAsia="仿宋"/>
          <w:sz w:val="32"/>
          <w:szCs w:val="32"/>
        </w:rPr>
      </w:pPr>
      <w:r>
        <w:rPr>
          <w:rFonts w:hint="eastAsia" w:ascii="仿宋" w:hAnsi="仿宋" w:eastAsia="仿宋"/>
          <w:b/>
          <w:sz w:val="32"/>
          <w:szCs w:val="32"/>
        </w:rPr>
        <w:t>绩效目标</w:t>
      </w:r>
      <w:r>
        <w:rPr>
          <w:rFonts w:hint="eastAsia" w:ascii="仿宋" w:hAnsi="仿宋" w:eastAsia="仿宋"/>
          <w:sz w:val="32"/>
          <w:szCs w:val="32"/>
        </w:rPr>
        <w:t>：坚持正确舆论导向，发挥主流媒体作用，加强内容形式以及方法手段创新，提高广播电视覆盖人口规模与数量，提升影响力。</w:t>
      </w:r>
    </w:p>
    <w:p>
      <w:pPr>
        <w:pStyle w:val="8"/>
        <w:spacing w:before="0" w:beforeAutospacing="0" w:after="0" w:afterAutospacing="0" w:line="600" w:lineRule="exact"/>
        <w:ind w:firstLine="643" w:firstLineChars="200"/>
        <w:rPr>
          <w:rFonts w:ascii="仿宋" w:hAnsi="仿宋" w:eastAsia="仿宋"/>
          <w:sz w:val="32"/>
          <w:szCs w:val="32"/>
        </w:rPr>
      </w:pPr>
      <w:r>
        <w:rPr>
          <w:rFonts w:hint="eastAsia" w:ascii="仿宋" w:hAnsi="仿宋" w:eastAsia="仿宋"/>
          <w:b/>
          <w:sz w:val="32"/>
          <w:szCs w:val="32"/>
        </w:rPr>
        <w:t>绩效指标</w:t>
      </w:r>
      <w:r>
        <w:rPr>
          <w:rFonts w:hint="eastAsia" w:ascii="仿宋" w:hAnsi="仿宋" w:eastAsia="仿宋"/>
          <w:sz w:val="32"/>
          <w:szCs w:val="32"/>
        </w:rPr>
        <w:t>：市级广播电视覆盖率100%，县级广播电视覆盖率达到97%以上。</w:t>
      </w:r>
    </w:p>
    <w:p>
      <w:pPr>
        <w:spacing w:line="600" w:lineRule="exact"/>
        <w:ind w:firstLine="645"/>
        <w:rPr>
          <w:rFonts w:ascii="仿宋" w:hAnsi="仿宋" w:eastAsia="仿宋" w:cs="宋体"/>
          <w:b/>
          <w:kern w:val="0"/>
          <w:sz w:val="32"/>
          <w:szCs w:val="32"/>
        </w:rPr>
      </w:pPr>
      <w:r>
        <w:rPr>
          <w:rFonts w:hint="eastAsia" w:ascii="仿宋" w:hAnsi="仿宋" w:eastAsia="仿宋" w:cs="宋体"/>
          <w:b/>
          <w:kern w:val="0"/>
          <w:sz w:val="32"/>
          <w:szCs w:val="32"/>
        </w:rPr>
        <w:t>8.广播影视、网络视听和公共视听载体节目制作能力建设</w:t>
      </w:r>
    </w:p>
    <w:p>
      <w:pPr>
        <w:pStyle w:val="8"/>
        <w:spacing w:before="0" w:beforeAutospacing="0" w:after="0" w:afterAutospacing="0" w:line="600" w:lineRule="exact"/>
        <w:ind w:firstLine="643" w:firstLineChars="200"/>
        <w:rPr>
          <w:rFonts w:ascii="仿宋" w:hAnsi="仿宋" w:eastAsia="仿宋"/>
          <w:sz w:val="32"/>
          <w:szCs w:val="32"/>
        </w:rPr>
      </w:pPr>
      <w:r>
        <w:rPr>
          <w:rFonts w:hint="eastAsia" w:ascii="仿宋" w:hAnsi="仿宋" w:eastAsia="仿宋"/>
          <w:b/>
          <w:sz w:val="32"/>
          <w:szCs w:val="32"/>
        </w:rPr>
        <w:t>绩效目标</w:t>
      </w:r>
      <w:r>
        <w:rPr>
          <w:rFonts w:hint="eastAsia" w:ascii="仿宋" w:hAnsi="仿宋" w:eastAsia="仿宋"/>
          <w:sz w:val="32"/>
          <w:szCs w:val="32"/>
        </w:rPr>
        <w:t>：加强技术管理、技术升级改造及设备设施维护，开展新技术应用。向移动互联网跨越发展，打造智能生活服务类客户端，促进媒体融合。</w:t>
      </w:r>
    </w:p>
    <w:p>
      <w:pPr>
        <w:pStyle w:val="8"/>
        <w:spacing w:before="0" w:beforeAutospacing="0" w:after="0" w:afterAutospacing="0" w:line="600" w:lineRule="exact"/>
        <w:ind w:firstLine="643" w:firstLineChars="200"/>
        <w:rPr>
          <w:rFonts w:ascii="仿宋" w:hAnsi="仿宋" w:eastAsia="仿宋"/>
          <w:sz w:val="32"/>
          <w:szCs w:val="32"/>
        </w:rPr>
      </w:pPr>
      <w:r>
        <w:rPr>
          <w:rFonts w:hint="eastAsia" w:ascii="仿宋" w:hAnsi="仿宋" w:eastAsia="仿宋"/>
          <w:b/>
          <w:sz w:val="32"/>
          <w:szCs w:val="32"/>
        </w:rPr>
        <w:t>绩效指标</w:t>
      </w:r>
      <w:r>
        <w:rPr>
          <w:rFonts w:hint="eastAsia" w:ascii="仿宋" w:hAnsi="仿宋" w:eastAsia="仿宋"/>
          <w:sz w:val="32"/>
          <w:szCs w:val="32"/>
        </w:rPr>
        <w:t>：与长城新媒体合作，打造智能生活服务平台，在“智慧广电”建设方面取得突破性进展。</w:t>
      </w:r>
    </w:p>
    <w:p>
      <w:pPr>
        <w:spacing w:line="600" w:lineRule="exact"/>
        <w:ind w:firstLine="645"/>
        <w:rPr>
          <w:rFonts w:ascii="仿宋" w:hAnsi="仿宋" w:eastAsia="仿宋" w:cs="宋体"/>
          <w:b/>
          <w:kern w:val="0"/>
          <w:sz w:val="32"/>
          <w:szCs w:val="32"/>
        </w:rPr>
      </w:pPr>
      <w:r>
        <w:rPr>
          <w:rFonts w:hint="eastAsia" w:ascii="仿宋" w:hAnsi="仿宋" w:eastAsia="仿宋" w:cs="宋体"/>
          <w:b/>
          <w:kern w:val="0"/>
          <w:sz w:val="32"/>
          <w:szCs w:val="32"/>
        </w:rPr>
        <w:t>9. 安全播出管理</w:t>
      </w:r>
    </w:p>
    <w:p>
      <w:pPr>
        <w:spacing w:line="600" w:lineRule="exact"/>
        <w:ind w:firstLine="645"/>
        <w:rPr>
          <w:rFonts w:ascii="仿宋" w:hAnsi="仿宋" w:eastAsia="仿宋" w:cs="宋体"/>
          <w:kern w:val="0"/>
          <w:sz w:val="32"/>
          <w:szCs w:val="32"/>
        </w:rPr>
      </w:pPr>
      <w:r>
        <w:rPr>
          <w:rFonts w:hint="eastAsia" w:ascii="仿宋" w:hAnsi="仿宋" w:eastAsia="仿宋" w:cs="宋体"/>
          <w:b/>
          <w:kern w:val="0"/>
          <w:sz w:val="32"/>
          <w:szCs w:val="32"/>
        </w:rPr>
        <w:t>绩效目标：</w:t>
      </w:r>
      <w:r>
        <w:rPr>
          <w:rFonts w:hint="eastAsia" w:ascii="仿宋" w:hAnsi="仿宋" w:eastAsia="仿宋" w:cs="宋体"/>
          <w:kern w:val="0"/>
          <w:sz w:val="32"/>
          <w:szCs w:val="32"/>
        </w:rPr>
        <w:t>对广播电视、网络视听和公共视听载体节目传输、覆盖及网络和新媒体内容等的安全播出情况进行监管；对直属台站进行监督管理；开展市市共管中波发射台的运行维护管理；指导协调全市广播电视系统安全和保卫工作。</w:t>
      </w:r>
    </w:p>
    <w:p>
      <w:pPr>
        <w:spacing w:line="600" w:lineRule="exact"/>
        <w:ind w:firstLine="645"/>
        <w:rPr>
          <w:rFonts w:ascii="仿宋" w:hAnsi="仿宋" w:eastAsia="仿宋" w:cs="宋体"/>
          <w:kern w:val="0"/>
          <w:sz w:val="32"/>
          <w:szCs w:val="32"/>
        </w:rPr>
      </w:pPr>
      <w:r>
        <w:rPr>
          <w:rFonts w:hint="eastAsia" w:ascii="仿宋" w:hAnsi="仿宋" w:eastAsia="仿宋"/>
          <w:b/>
          <w:sz w:val="32"/>
          <w:szCs w:val="32"/>
        </w:rPr>
        <w:t>绩效指标</w:t>
      </w:r>
      <w:r>
        <w:rPr>
          <w:rFonts w:hint="eastAsia" w:ascii="仿宋" w:hAnsi="仿宋" w:eastAsia="仿宋"/>
          <w:sz w:val="32"/>
          <w:szCs w:val="32"/>
        </w:rPr>
        <w:t>：在全年重要保障期组织全市安全保障工作视频会议8次，推进4个县区自办节目回传信号传输线路建设并纳入我局监管平台。</w:t>
      </w:r>
    </w:p>
    <w:p>
      <w:pPr>
        <w:spacing w:line="600" w:lineRule="exact"/>
        <w:ind w:firstLine="645"/>
        <w:rPr>
          <w:rFonts w:ascii="仿宋" w:hAnsi="仿宋" w:eastAsia="仿宋" w:cs="宋体"/>
          <w:b/>
          <w:kern w:val="0"/>
          <w:sz w:val="32"/>
          <w:szCs w:val="32"/>
        </w:rPr>
      </w:pPr>
      <w:r>
        <w:rPr>
          <w:rFonts w:hint="eastAsia" w:ascii="仿宋" w:hAnsi="仿宋" w:eastAsia="仿宋" w:cs="宋体"/>
          <w:b/>
          <w:kern w:val="0"/>
          <w:sz w:val="32"/>
          <w:szCs w:val="32"/>
        </w:rPr>
        <w:t>10. 广播电视产业与新媒体新技术新业态融合发展</w:t>
      </w:r>
    </w:p>
    <w:p>
      <w:pPr>
        <w:pStyle w:val="8"/>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绩效目标：指导、协调、推进县级融媒体中心建设，以“引导群众、服务群众”为方向，实行移动优先战略，充分发挥媒体融合的力量，形成融媒体传播矩阵，将市、县融媒体中心建成主流舆论阵地、综合服务平台和社区信息枢纽。</w:t>
      </w:r>
    </w:p>
    <w:p>
      <w:pPr>
        <w:pStyle w:val="8"/>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绩效指标：继续推进4个县区融媒体中心建设，建成包括中央厨房、高清演播室、综艺演播厅、录音棚、高清播出机房等功能分区，完成高清化改造。指导、协调2个县区融媒体中心项目开工建设。</w:t>
      </w:r>
    </w:p>
    <w:p>
      <w:pPr>
        <w:spacing w:line="600" w:lineRule="exact"/>
        <w:ind w:firstLine="645"/>
        <w:rPr>
          <w:rFonts w:ascii="仿宋" w:hAnsi="仿宋" w:eastAsia="仿宋" w:cs="宋体"/>
          <w:b/>
          <w:kern w:val="0"/>
          <w:sz w:val="32"/>
          <w:szCs w:val="32"/>
        </w:rPr>
      </w:pPr>
      <w:r>
        <w:rPr>
          <w:rFonts w:hint="eastAsia" w:ascii="仿宋" w:hAnsi="仿宋" w:eastAsia="仿宋" w:cs="宋体"/>
          <w:b/>
          <w:kern w:val="0"/>
          <w:sz w:val="32"/>
          <w:szCs w:val="32"/>
        </w:rPr>
        <w:t>11.旅游市场开发推广及交流合作</w:t>
      </w:r>
    </w:p>
    <w:p>
      <w:pPr>
        <w:spacing w:line="600" w:lineRule="exact"/>
        <w:ind w:firstLine="645"/>
        <w:rPr>
          <w:rFonts w:ascii="仿宋" w:hAnsi="仿宋" w:eastAsia="仿宋" w:cs="宋体"/>
          <w:kern w:val="0"/>
          <w:sz w:val="32"/>
          <w:szCs w:val="32"/>
        </w:rPr>
      </w:pPr>
      <w:r>
        <w:rPr>
          <w:rFonts w:hint="eastAsia" w:ascii="仿宋" w:hAnsi="仿宋" w:eastAsia="仿宋" w:cs="宋体"/>
          <w:b/>
          <w:kern w:val="0"/>
          <w:sz w:val="32"/>
          <w:szCs w:val="32"/>
        </w:rPr>
        <w:t>绩效目标：</w:t>
      </w:r>
      <w:r>
        <w:rPr>
          <w:rFonts w:hint="eastAsia" w:ascii="仿宋" w:hAnsi="仿宋" w:eastAsia="仿宋" w:cs="宋体"/>
          <w:kern w:val="0"/>
          <w:sz w:val="32"/>
          <w:szCs w:val="32"/>
        </w:rPr>
        <w:t>制定全市国内旅游、入境旅游和出境旅游的市场开发战略并组织实施；策划、推广全市旅游产品及旅游线路，开展国内外旅游市场促销工作，指导支持市内各地的旅游市场开发工作。制定全市国内旅游、入境旅游和出境旅游的市场开发战略并组织实施；策划、推广全市旅游产品及旅游线路，开展国内外旅游市场促销工作，指导支持市内各地的旅游市场开发工作。</w:t>
      </w:r>
    </w:p>
    <w:p>
      <w:pPr>
        <w:spacing w:line="600" w:lineRule="exact"/>
        <w:ind w:firstLine="643" w:firstLineChars="200"/>
        <w:jc w:val="left"/>
        <w:rPr>
          <w:rFonts w:ascii="仿宋" w:hAnsi="仿宋" w:eastAsia="仿宋"/>
          <w:sz w:val="32"/>
          <w:szCs w:val="32"/>
        </w:rPr>
      </w:pPr>
      <w:r>
        <w:rPr>
          <w:rFonts w:ascii="仿宋" w:hAnsi="仿宋" w:eastAsia="仿宋"/>
          <w:b/>
          <w:sz w:val="32"/>
          <w:szCs w:val="32"/>
        </w:rPr>
        <w:t>绩效指标</w:t>
      </w:r>
      <w:r>
        <w:rPr>
          <w:rFonts w:ascii="仿宋" w:hAnsi="仿宋" w:eastAsia="仿宋"/>
          <w:sz w:val="32"/>
          <w:szCs w:val="32"/>
        </w:rPr>
        <w:t>：游客同比增长率达到1</w:t>
      </w:r>
      <w:r>
        <w:rPr>
          <w:rFonts w:hint="eastAsia" w:ascii="仿宋" w:hAnsi="仿宋" w:eastAsia="仿宋"/>
          <w:sz w:val="32"/>
          <w:szCs w:val="32"/>
        </w:rPr>
        <w:t>0</w:t>
      </w:r>
      <w:r>
        <w:rPr>
          <w:rFonts w:ascii="仿宋" w:hAnsi="仿宋" w:eastAsia="仿宋"/>
          <w:sz w:val="32"/>
          <w:szCs w:val="32"/>
        </w:rPr>
        <w:t>%；旅游收入同比增长率达到</w:t>
      </w:r>
      <w:r>
        <w:rPr>
          <w:rFonts w:hint="eastAsia" w:ascii="仿宋" w:hAnsi="仿宋" w:eastAsia="仿宋"/>
          <w:sz w:val="32"/>
          <w:szCs w:val="32"/>
        </w:rPr>
        <w:t>12</w:t>
      </w:r>
      <w:r>
        <w:rPr>
          <w:rFonts w:ascii="仿宋" w:hAnsi="仿宋" w:eastAsia="仿宋"/>
          <w:sz w:val="32"/>
          <w:szCs w:val="32"/>
        </w:rPr>
        <w:t>%。</w:t>
      </w:r>
    </w:p>
    <w:p>
      <w:pPr>
        <w:spacing w:line="600" w:lineRule="exact"/>
        <w:ind w:firstLine="645"/>
        <w:rPr>
          <w:rFonts w:ascii="仿宋" w:hAnsi="仿宋" w:eastAsia="仿宋" w:cs="宋体"/>
          <w:b/>
          <w:kern w:val="0"/>
          <w:sz w:val="32"/>
          <w:szCs w:val="32"/>
        </w:rPr>
      </w:pPr>
      <w:r>
        <w:rPr>
          <w:rFonts w:hint="eastAsia" w:ascii="仿宋" w:hAnsi="仿宋" w:eastAsia="仿宋" w:cs="宋体"/>
          <w:b/>
          <w:kern w:val="0"/>
          <w:sz w:val="32"/>
          <w:szCs w:val="32"/>
        </w:rPr>
        <w:t>12. 旅游形象宣传</w:t>
      </w:r>
    </w:p>
    <w:p>
      <w:pPr>
        <w:spacing w:line="600" w:lineRule="exact"/>
        <w:ind w:firstLine="645"/>
        <w:rPr>
          <w:rFonts w:ascii="仿宋" w:hAnsi="仿宋" w:eastAsia="仿宋" w:cs="宋体"/>
          <w:kern w:val="0"/>
          <w:sz w:val="32"/>
          <w:szCs w:val="32"/>
        </w:rPr>
      </w:pPr>
      <w:r>
        <w:rPr>
          <w:rFonts w:hint="eastAsia" w:ascii="仿宋" w:hAnsi="仿宋" w:eastAsia="仿宋" w:cs="宋体"/>
          <w:b/>
          <w:kern w:val="0"/>
          <w:sz w:val="32"/>
          <w:szCs w:val="32"/>
        </w:rPr>
        <w:t>绩效目标：</w:t>
      </w:r>
      <w:r>
        <w:rPr>
          <w:rFonts w:hint="eastAsia" w:ascii="仿宋" w:hAnsi="仿宋" w:eastAsia="仿宋" w:cs="宋体"/>
          <w:kern w:val="0"/>
          <w:sz w:val="32"/>
          <w:szCs w:val="32"/>
        </w:rPr>
        <w:t>开展旅游政务宣传、形象宣传、网络宣传，投放旅游广告、组织重点旅游线路和旅游目的地的宣传推广，旅游宣传品的设计、制作；开展新闻媒体记者采访考察工作。</w:t>
      </w:r>
    </w:p>
    <w:p>
      <w:pPr>
        <w:spacing w:line="600" w:lineRule="exact"/>
        <w:ind w:firstLine="643" w:firstLineChars="200"/>
        <w:jc w:val="left"/>
        <w:rPr>
          <w:rFonts w:ascii="仿宋" w:hAnsi="仿宋" w:eastAsia="仿宋"/>
          <w:sz w:val="32"/>
          <w:szCs w:val="32"/>
        </w:rPr>
      </w:pPr>
      <w:r>
        <w:rPr>
          <w:rFonts w:ascii="仿宋" w:hAnsi="仿宋" w:eastAsia="仿宋"/>
          <w:b/>
          <w:sz w:val="32"/>
          <w:szCs w:val="32"/>
        </w:rPr>
        <w:t>绩效指标</w:t>
      </w:r>
      <w:r>
        <w:rPr>
          <w:rFonts w:ascii="仿宋" w:hAnsi="仿宋" w:eastAsia="仿宋"/>
          <w:sz w:val="32"/>
          <w:szCs w:val="32"/>
        </w:rPr>
        <w:t>：在央视投放广告时长</w:t>
      </w:r>
      <w:r>
        <w:rPr>
          <w:rFonts w:hint="eastAsia" w:ascii="仿宋" w:hAnsi="仿宋" w:eastAsia="仿宋"/>
          <w:sz w:val="32"/>
          <w:szCs w:val="32"/>
        </w:rPr>
        <w:t>5</w:t>
      </w:r>
      <w:r>
        <w:rPr>
          <w:rFonts w:ascii="仿宋" w:hAnsi="仿宋" w:eastAsia="仿宋"/>
          <w:sz w:val="32"/>
          <w:szCs w:val="32"/>
        </w:rPr>
        <w:t>秒；在平面媒体投放</w:t>
      </w:r>
      <w:r>
        <w:rPr>
          <w:rFonts w:hint="eastAsia" w:ascii="仿宋" w:hAnsi="仿宋" w:eastAsia="仿宋"/>
          <w:sz w:val="32"/>
          <w:szCs w:val="32"/>
        </w:rPr>
        <w:t>宣传</w:t>
      </w:r>
      <w:r>
        <w:rPr>
          <w:rFonts w:ascii="仿宋" w:hAnsi="仿宋" w:eastAsia="仿宋"/>
          <w:sz w:val="32"/>
          <w:szCs w:val="32"/>
        </w:rPr>
        <w:t>版面数达</w:t>
      </w:r>
      <w:r>
        <w:rPr>
          <w:rFonts w:hint="eastAsia" w:ascii="仿宋" w:hAnsi="仿宋" w:eastAsia="仿宋"/>
          <w:sz w:val="32"/>
          <w:szCs w:val="32"/>
        </w:rPr>
        <w:t>2</w:t>
      </w:r>
      <w:r>
        <w:rPr>
          <w:rFonts w:ascii="仿宋" w:hAnsi="仿宋" w:eastAsia="仿宋"/>
          <w:sz w:val="32"/>
          <w:szCs w:val="32"/>
        </w:rPr>
        <w:t>版；组织媒体进行旅游相关采访</w:t>
      </w:r>
      <w:r>
        <w:rPr>
          <w:rFonts w:hint="eastAsia" w:ascii="仿宋" w:hAnsi="仿宋" w:eastAsia="仿宋"/>
          <w:sz w:val="32"/>
          <w:szCs w:val="32"/>
        </w:rPr>
        <w:t>4</w:t>
      </w:r>
      <w:r>
        <w:rPr>
          <w:rFonts w:ascii="仿宋" w:hAnsi="仿宋" w:eastAsia="仿宋"/>
          <w:sz w:val="32"/>
          <w:szCs w:val="32"/>
        </w:rPr>
        <w:t>次；</w:t>
      </w:r>
      <w:r>
        <w:rPr>
          <w:rFonts w:hint="eastAsia" w:ascii="仿宋" w:hAnsi="仿宋" w:eastAsia="仿宋"/>
          <w:sz w:val="32"/>
          <w:szCs w:val="32"/>
        </w:rPr>
        <w:t>西客站媒体宣传不少于2个月；新闻信息量达到30次。</w:t>
      </w:r>
    </w:p>
    <w:p>
      <w:pPr>
        <w:spacing w:line="600" w:lineRule="exact"/>
        <w:ind w:firstLine="645"/>
        <w:rPr>
          <w:rFonts w:ascii="仿宋" w:hAnsi="仿宋" w:eastAsia="仿宋" w:cs="宋体"/>
          <w:b/>
          <w:kern w:val="0"/>
          <w:sz w:val="32"/>
          <w:szCs w:val="32"/>
        </w:rPr>
      </w:pPr>
      <w:r>
        <w:rPr>
          <w:rFonts w:hint="eastAsia" w:ascii="仿宋" w:hAnsi="仿宋" w:eastAsia="仿宋"/>
          <w:b/>
          <w:sz w:val="32"/>
          <w:szCs w:val="32"/>
        </w:rPr>
        <w:t>13.</w:t>
      </w:r>
      <w:r>
        <w:rPr>
          <w:rFonts w:hint="eastAsia" w:ascii="仿宋" w:hAnsi="仿宋" w:eastAsia="仿宋" w:cs="宋体"/>
          <w:b/>
          <w:kern w:val="0"/>
          <w:sz w:val="32"/>
          <w:szCs w:val="32"/>
        </w:rPr>
        <w:t xml:space="preserve"> 旅游信息化建设</w:t>
      </w:r>
    </w:p>
    <w:p>
      <w:pPr>
        <w:spacing w:line="600" w:lineRule="exact"/>
        <w:ind w:firstLine="645"/>
        <w:rPr>
          <w:rFonts w:ascii="仿宋" w:hAnsi="仿宋" w:eastAsia="仿宋" w:cs="宋体"/>
          <w:kern w:val="0"/>
          <w:sz w:val="32"/>
          <w:szCs w:val="32"/>
        </w:rPr>
      </w:pPr>
      <w:r>
        <w:rPr>
          <w:rFonts w:hint="eastAsia" w:ascii="仿宋" w:hAnsi="仿宋" w:eastAsia="仿宋" w:cs="宋体"/>
          <w:b/>
          <w:kern w:val="0"/>
          <w:sz w:val="32"/>
          <w:szCs w:val="32"/>
        </w:rPr>
        <w:t>绩效目标：</w:t>
      </w:r>
      <w:r>
        <w:rPr>
          <w:rFonts w:hint="eastAsia" w:ascii="仿宋" w:hAnsi="仿宋" w:eastAsia="仿宋" w:cs="宋体"/>
          <w:kern w:val="0"/>
          <w:sz w:val="32"/>
          <w:szCs w:val="32"/>
        </w:rPr>
        <w:t>通过对旅游门户网站、电子政务系统、旅游平台等信息化内容的建设和维护，为从业人员及游客提供更加便捷的体验和服务。</w:t>
      </w:r>
    </w:p>
    <w:p>
      <w:pPr>
        <w:spacing w:line="600" w:lineRule="exact"/>
        <w:ind w:firstLine="643" w:firstLineChars="200"/>
        <w:jc w:val="left"/>
        <w:rPr>
          <w:rFonts w:ascii="仿宋" w:hAnsi="仿宋" w:eastAsia="仿宋" w:cs="宋体"/>
          <w:kern w:val="0"/>
          <w:sz w:val="32"/>
          <w:szCs w:val="32"/>
        </w:rPr>
      </w:pPr>
      <w:r>
        <w:rPr>
          <w:rFonts w:ascii="仿宋" w:hAnsi="仿宋" w:eastAsia="仿宋"/>
          <w:b/>
          <w:sz w:val="32"/>
          <w:szCs w:val="32"/>
        </w:rPr>
        <w:t>绩效指标：</w:t>
      </w:r>
      <w:r>
        <w:rPr>
          <w:rFonts w:ascii="仿宋" w:hAnsi="仿宋" w:eastAsia="仿宋"/>
          <w:sz w:val="32"/>
          <w:szCs w:val="32"/>
        </w:rPr>
        <w:t>大数据分析A级景区达到</w:t>
      </w:r>
      <w:r>
        <w:rPr>
          <w:rFonts w:hint="eastAsia" w:ascii="仿宋" w:hAnsi="仿宋" w:eastAsia="仿宋"/>
          <w:sz w:val="32"/>
          <w:szCs w:val="32"/>
        </w:rPr>
        <w:t>24</w:t>
      </w:r>
      <w:r>
        <w:rPr>
          <w:rFonts w:ascii="仿宋" w:hAnsi="仿宋" w:eastAsia="仿宋"/>
          <w:sz w:val="32"/>
          <w:szCs w:val="32"/>
        </w:rPr>
        <w:t>个；A级景区监测达到</w:t>
      </w:r>
      <w:r>
        <w:rPr>
          <w:rFonts w:hint="eastAsia" w:ascii="仿宋" w:hAnsi="仿宋" w:eastAsia="仿宋"/>
          <w:sz w:val="32"/>
          <w:szCs w:val="32"/>
        </w:rPr>
        <w:t>24</w:t>
      </w:r>
      <w:r>
        <w:rPr>
          <w:rFonts w:ascii="仿宋" w:hAnsi="仿宋" w:eastAsia="仿宋"/>
          <w:sz w:val="32"/>
          <w:szCs w:val="32"/>
        </w:rPr>
        <w:t>个；邀请信息化专业人士参与信息化建设</w:t>
      </w:r>
      <w:r>
        <w:rPr>
          <w:rFonts w:hint="eastAsia" w:ascii="仿宋" w:hAnsi="仿宋" w:eastAsia="仿宋"/>
          <w:sz w:val="32"/>
          <w:szCs w:val="32"/>
        </w:rPr>
        <w:t>2</w:t>
      </w:r>
      <w:r>
        <w:rPr>
          <w:rFonts w:ascii="仿宋" w:hAnsi="仿宋" w:eastAsia="仿宋"/>
          <w:sz w:val="32"/>
          <w:szCs w:val="32"/>
        </w:rPr>
        <w:t>次；网站公开信息</w:t>
      </w:r>
      <w:r>
        <w:rPr>
          <w:rFonts w:hint="eastAsia" w:ascii="仿宋" w:hAnsi="仿宋" w:eastAsia="仿宋"/>
          <w:sz w:val="32"/>
          <w:szCs w:val="32"/>
        </w:rPr>
        <w:t>70</w:t>
      </w:r>
      <w:r>
        <w:rPr>
          <w:rFonts w:ascii="仿宋" w:hAnsi="仿宋" w:eastAsia="仿宋"/>
          <w:sz w:val="32"/>
          <w:szCs w:val="32"/>
        </w:rPr>
        <w:t>次。</w:t>
      </w:r>
    </w:p>
    <w:p>
      <w:pPr>
        <w:spacing w:line="600" w:lineRule="exact"/>
        <w:ind w:firstLine="645"/>
        <w:rPr>
          <w:rFonts w:ascii="仿宋" w:hAnsi="仿宋" w:eastAsia="仿宋" w:cs="宋体"/>
          <w:b/>
          <w:kern w:val="0"/>
          <w:sz w:val="32"/>
          <w:szCs w:val="32"/>
        </w:rPr>
      </w:pPr>
      <w:r>
        <w:rPr>
          <w:rFonts w:hint="eastAsia" w:ascii="仿宋" w:hAnsi="仿宋" w:eastAsia="仿宋"/>
          <w:b/>
          <w:sz w:val="32"/>
          <w:szCs w:val="32"/>
        </w:rPr>
        <w:t>14.</w:t>
      </w:r>
      <w:r>
        <w:rPr>
          <w:rFonts w:hint="eastAsia" w:ascii="仿宋" w:hAnsi="仿宋" w:eastAsia="仿宋" w:cs="宋体"/>
          <w:b/>
          <w:kern w:val="0"/>
          <w:sz w:val="32"/>
          <w:szCs w:val="32"/>
        </w:rPr>
        <w:t xml:space="preserve"> 旅游规划及重点项目建设。</w:t>
      </w:r>
    </w:p>
    <w:p>
      <w:pPr>
        <w:spacing w:line="600" w:lineRule="exact"/>
        <w:ind w:firstLine="645"/>
        <w:rPr>
          <w:rFonts w:ascii="仿宋" w:hAnsi="仿宋" w:eastAsia="仿宋" w:cs="宋体"/>
          <w:kern w:val="0"/>
          <w:sz w:val="32"/>
          <w:szCs w:val="32"/>
        </w:rPr>
      </w:pPr>
      <w:r>
        <w:rPr>
          <w:rFonts w:hint="eastAsia" w:ascii="仿宋" w:hAnsi="仿宋" w:eastAsia="仿宋" w:cs="宋体"/>
          <w:b/>
          <w:kern w:val="0"/>
          <w:sz w:val="32"/>
          <w:szCs w:val="32"/>
        </w:rPr>
        <w:t>绩效目标：</w:t>
      </w:r>
      <w:r>
        <w:rPr>
          <w:rFonts w:hint="eastAsia" w:ascii="仿宋" w:hAnsi="仿宋" w:eastAsia="仿宋" w:cs="宋体"/>
          <w:kern w:val="0"/>
          <w:sz w:val="32"/>
          <w:szCs w:val="32"/>
        </w:rPr>
        <w:t>组织全市旅游资源普查、规划、开发和相关保护工作；指导全市重点旅游区域、旅游目的地和旅游线路的规划开发，引导社会资本投资旅游业，推动本市旅游产业引导股权投资基金筛选优质项目，开展项目投资；加大全市旅游重点项目建设统筹力度，会同有关部门开展旅游产业投资和重大旅游项目建设的协调、服务工作；促进旅游新业态发展和旅游带动就业及扶贫工作，大力发展乡村旅游；开展旅游厕所革命，提高旅游厕所建设管理水平；协调和指导全市假日旅游和红色旅游工作。</w:t>
      </w:r>
    </w:p>
    <w:p>
      <w:pPr>
        <w:spacing w:line="600" w:lineRule="exact"/>
        <w:ind w:firstLine="643" w:firstLineChars="200"/>
        <w:jc w:val="left"/>
        <w:rPr>
          <w:rFonts w:ascii="仿宋" w:hAnsi="仿宋" w:eastAsia="仿宋"/>
          <w:sz w:val="32"/>
          <w:szCs w:val="32"/>
        </w:rPr>
      </w:pPr>
      <w:r>
        <w:rPr>
          <w:rFonts w:ascii="仿宋" w:hAnsi="仿宋" w:eastAsia="仿宋"/>
          <w:b/>
          <w:sz w:val="32"/>
          <w:szCs w:val="32"/>
        </w:rPr>
        <w:t>绩效指标</w:t>
      </w:r>
      <w:r>
        <w:rPr>
          <w:rFonts w:ascii="仿宋" w:hAnsi="仿宋" w:eastAsia="仿宋"/>
          <w:sz w:val="32"/>
          <w:szCs w:val="32"/>
        </w:rPr>
        <w:t>：旅游厕所建设改造完成</w:t>
      </w:r>
      <w:r>
        <w:rPr>
          <w:rFonts w:hint="eastAsia" w:ascii="仿宋" w:hAnsi="仿宋" w:eastAsia="仿宋"/>
          <w:sz w:val="32"/>
          <w:szCs w:val="32"/>
        </w:rPr>
        <w:t>144座</w:t>
      </w:r>
      <w:r>
        <w:rPr>
          <w:rFonts w:ascii="仿宋" w:hAnsi="仿宋" w:eastAsia="仿宋"/>
          <w:sz w:val="32"/>
          <w:szCs w:val="32"/>
        </w:rPr>
        <w:t>；指导编制</w:t>
      </w:r>
      <w:r>
        <w:rPr>
          <w:rFonts w:hint="eastAsia" w:ascii="仿宋" w:hAnsi="仿宋" w:eastAsia="仿宋"/>
          <w:sz w:val="32"/>
          <w:szCs w:val="32"/>
        </w:rPr>
        <w:t>文旅融合</w:t>
      </w:r>
      <w:r>
        <w:rPr>
          <w:rFonts w:ascii="仿宋" w:hAnsi="仿宋" w:eastAsia="仿宋"/>
          <w:sz w:val="32"/>
          <w:szCs w:val="32"/>
        </w:rPr>
        <w:t>专项规划</w:t>
      </w:r>
      <w:r>
        <w:rPr>
          <w:rFonts w:hint="eastAsia" w:ascii="仿宋" w:hAnsi="仿宋" w:eastAsia="仿宋"/>
          <w:sz w:val="32"/>
          <w:szCs w:val="32"/>
        </w:rPr>
        <w:t>1</w:t>
      </w:r>
      <w:r>
        <w:rPr>
          <w:rFonts w:ascii="仿宋" w:hAnsi="仿宋" w:eastAsia="仿宋"/>
          <w:sz w:val="32"/>
          <w:szCs w:val="32"/>
        </w:rPr>
        <w:t>项；全</w:t>
      </w:r>
      <w:r>
        <w:rPr>
          <w:rFonts w:hint="eastAsia" w:ascii="仿宋" w:hAnsi="仿宋" w:eastAsia="仿宋"/>
          <w:sz w:val="32"/>
          <w:szCs w:val="32"/>
        </w:rPr>
        <w:t>市</w:t>
      </w:r>
      <w:r>
        <w:rPr>
          <w:rFonts w:ascii="仿宋" w:hAnsi="仿宋" w:eastAsia="仿宋"/>
          <w:sz w:val="32"/>
          <w:szCs w:val="32"/>
        </w:rPr>
        <w:t>旅游项目实际完成投资额增长率达到</w:t>
      </w:r>
      <w:r>
        <w:rPr>
          <w:rFonts w:hint="eastAsia" w:ascii="仿宋" w:hAnsi="仿宋" w:eastAsia="仿宋"/>
          <w:sz w:val="32"/>
          <w:szCs w:val="32"/>
        </w:rPr>
        <w:t>5</w:t>
      </w:r>
      <w:r>
        <w:rPr>
          <w:rFonts w:ascii="仿宋" w:hAnsi="仿宋" w:eastAsia="仿宋"/>
          <w:sz w:val="32"/>
          <w:szCs w:val="32"/>
        </w:rPr>
        <w:t>%；发展乡村旅游村数增长</w:t>
      </w:r>
      <w:r>
        <w:rPr>
          <w:rFonts w:hint="eastAsia" w:ascii="仿宋" w:hAnsi="仿宋" w:eastAsia="仿宋"/>
          <w:sz w:val="32"/>
          <w:szCs w:val="32"/>
        </w:rPr>
        <w:t>20</w:t>
      </w:r>
      <w:r>
        <w:rPr>
          <w:rFonts w:ascii="仿宋" w:hAnsi="仿宋" w:eastAsia="仿宋"/>
          <w:sz w:val="32"/>
          <w:szCs w:val="32"/>
        </w:rPr>
        <w:t>个；受支持重点村乡村旅游接待游客增长率达到</w:t>
      </w:r>
      <w:r>
        <w:rPr>
          <w:rFonts w:hint="eastAsia" w:ascii="仿宋" w:hAnsi="仿宋" w:eastAsia="仿宋"/>
          <w:sz w:val="32"/>
          <w:szCs w:val="32"/>
        </w:rPr>
        <w:t>20</w:t>
      </w:r>
      <w:r>
        <w:rPr>
          <w:rFonts w:ascii="仿宋" w:hAnsi="仿宋" w:eastAsia="仿宋"/>
          <w:sz w:val="32"/>
          <w:szCs w:val="32"/>
        </w:rPr>
        <w:t>%；</w:t>
      </w:r>
      <w:r>
        <w:rPr>
          <w:rFonts w:hint="eastAsia" w:ascii="仿宋" w:hAnsi="仿宋" w:eastAsia="仿宋"/>
          <w:sz w:val="32"/>
          <w:szCs w:val="32"/>
        </w:rPr>
        <w:t>市</w:t>
      </w:r>
      <w:r>
        <w:rPr>
          <w:rFonts w:ascii="仿宋" w:hAnsi="仿宋" w:eastAsia="仿宋"/>
          <w:sz w:val="32"/>
          <w:szCs w:val="32"/>
        </w:rPr>
        <w:t>旅发大会承办地旅游接待和收入增量达到</w:t>
      </w:r>
      <w:r>
        <w:rPr>
          <w:rFonts w:hint="eastAsia" w:ascii="仿宋" w:hAnsi="仿宋" w:eastAsia="仿宋"/>
          <w:sz w:val="32"/>
          <w:szCs w:val="32"/>
        </w:rPr>
        <w:t>30</w:t>
      </w:r>
      <w:r>
        <w:rPr>
          <w:rFonts w:ascii="仿宋" w:hAnsi="仿宋" w:eastAsia="仿宋"/>
          <w:sz w:val="32"/>
          <w:szCs w:val="32"/>
        </w:rPr>
        <w:t>%；</w:t>
      </w:r>
      <w:r>
        <w:rPr>
          <w:rFonts w:hint="eastAsia" w:ascii="仿宋" w:hAnsi="仿宋" w:eastAsia="仿宋"/>
          <w:sz w:val="32"/>
          <w:szCs w:val="32"/>
        </w:rPr>
        <w:t>市</w:t>
      </w:r>
      <w:r>
        <w:rPr>
          <w:rFonts w:ascii="仿宋" w:hAnsi="仿宋" w:eastAsia="仿宋"/>
          <w:sz w:val="32"/>
          <w:szCs w:val="32"/>
        </w:rPr>
        <w:t>旅发大会建设旅游业态及公共服务项目</w:t>
      </w:r>
      <w:r>
        <w:rPr>
          <w:rFonts w:hint="eastAsia" w:ascii="仿宋" w:hAnsi="仿宋" w:eastAsia="仿宋"/>
          <w:sz w:val="32"/>
          <w:szCs w:val="32"/>
        </w:rPr>
        <w:t>8</w:t>
      </w:r>
      <w:r>
        <w:rPr>
          <w:rFonts w:ascii="仿宋" w:hAnsi="仿宋" w:eastAsia="仿宋"/>
          <w:sz w:val="32"/>
          <w:szCs w:val="32"/>
        </w:rPr>
        <w:t>个。</w:t>
      </w:r>
    </w:p>
    <w:p>
      <w:pPr>
        <w:spacing w:line="600" w:lineRule="exact"/>
        <w:ind w:firstLine="643" w:firstLineChars="200"/>
        <w:jc w:val="left"/>
        <w:outlineLvl w:val="1"/>
        <w:rPr>
          <w:rFonts w:ascii="仿宋" w:hAnsi="仿宋" w:eastAsia="仿宋"/>
          <w:sz w:val="32"/>
          <w:szCs w:val="32"/>
        </w:rPr>
      </w:pPr>
      <w:r>
        <w:rPr>
          <w:rFonts w:hint="eastAsia" w:ascii="方正黑体_GBK" w:eastAsia="方正黑体_GBK"/>
          <w:b/>
          <w:sz w:val="32"/>
          <w:szCs w:val="32"/>
        </w:rPr>
        <w:t>（三）工作保障措施</w:t>
      </w: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TC </w:instrText>
      </w:r>
      <w:bookmarkStart w:id="3" w:name="_Toc28856448"/>
      <w:r>
        <w:rPr>
          <w:rFonts w:hint="eastAsia" w:ascii="仿宋" w:hAnsi="仿宋" w:eastAsia="仿宋"/>
          <w:sz w:val="32"/>
          <w:szCs w:val="32"/>
        </w:rPr>
        <w:instrText xml:space="preserve">工作保障措施</w:instrText>
      </w:r>
      <w:bookmarkEnd w:id="3"/>
      <w:r>
        <w:rPr>
          <w:rFonts w:hint="eastAsia" w:ascii="仿宋" w:hAnsi="仿宋" w:eastAsia="仿宋"/>
          <w:sz w:val="32"/>
          <w:szCs w:val="32"/>
        </w:rPr>
        <w:instrText xml:space="preserve"> \f A \l 1</w:instrText>
      </w:r>
      <w:r>
        <w:rPr>
          <w:rFonts w:ascii="仿宋" w:hAnsi="仿宋" w:eastAsia="仿宋"/>
          <w:sz w:val="32"/>
          <w:szCs w:val="32"/>
        </w:rPr>
        <w:instrText xml:space="preserve"> </w:instrText>
      </w:r>
      <w:r>
        <w:rPr>
          <w:rFonts w:ascii="仿宋" w:hAnsi="仿宋" w:eastAsia="仿宋"/>
          <w:sz w:val="32"/>
          <w:szCs w:val="32"/>
        </w:rPr>
        <w:fldChar w:fldCharType="end"/>
      </w:r>
    </w:p>
    <w:p>
      <w:pPr>
        <w:spacing w:line="600" w:lineRule="exact"/>
        <w:ind w:firstLine="640" w:firstLineChars="200"/>
        <w:jc w:val="left"/>
        <w:rPr>
          <w:rFonts w:ascii="仿宋" w:hAnsi="仿宋" w:eastAsia="仿宋"/>
          <w:sz w:val="32"/>
          <w:szCs w:val="32"/>
        </w:rPr>
      </w:pPr>
      <w:r>
        <w:rPr>
          <w:rFonts w:ascii="仿宋" w:hAnsi="仿宋" w:eastAsia="仿宋"/>
          <w:sz w:val="32"/>
          <w:szCs w:val="32"/>
        </w:rPr>
        <w:t>为实现2020年度绩效目标，结合我</w:t>
      </w:r>
      <w:r>
        <w:rPr>
          <w:rFonts w:hint="eastAsia" w:ascii="仿宋" w:hAnsi="仿宋" w:eastAsia="仿宋"/>
          <w:sz w:val="32"/>
          <w:szCs w:val="32"/>
        </w:rPr>
        <w:t>市</w:t>
      </w:r>
      <w:r>
        <w:rPr>
          <w:rFonts w:ascii="仿宋" w:hAnsi="仿宋" w:eastAsia="仿宋"/>
          <w:sz w:val="32"/>
          <w:szCs w:val="32"/>
        </w:rPr>
        <w:t>文化和旅游工作实际，制定以下保障措施：</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完善制度建设。把加强和完善文化和旅游领域各方面的制度，作为旅游业改革发展的大事要事来抓，全面加强文化和旅游法制建设。完善以高质量发展为导向的政策体系，深化把社会效益放在首位、社会效益和经济效益相统一的文化创作生产体制机制，健全现代文化和旅游产业体系和市场体系，不断提高文化和旅游治理体系和治理能力现代化水平。</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加强支出管理。按照财政序时进度要求，加强预算执行管理，加快资金支出进度，按季度通报项目预算执行进度，</w:t>
      </w:r>
      <w:r>
        <w:rPr>
          <w:rFonts w:hint="eastAsia" w:ascii="仿宋" w:hAnsi="仿宋" w:eastAsia="仿宋"/>
          <w:sz w:val="32"/>
          <w:szCs w:val="32"/>
        </w:rPr>
        <w:t>局</w:t>
      </w:r>
      <w:r>
        <w:rPr>
          <w:rFonts w:ascii="仿宋" w:hAnsi="仿宋" w:eastAsia="仿宋"/>
          <w:sz w:val="32"/>
          <w:szCs w:val="32"/>
        </w:rPr>
        <w:t>党组会定期研究调度支出进度工作，对进度较慢的项目进行重点监督，对预算执行不力和支出不合理的，进行约谈督促整改，确保6月底</w:t>
      </w:r>
      <w:r>
        <w:rPr>
          <w:rFonts w:hint="eastAsia" w:ascii="仿宋" w:hAnsi="仿宋" w:eastAsia="仿宋"/>
          <w:sz w:val="32"/>
          <w:szCs w:val="32"/>
        </w:rPr>
        <w:t>项目</w:t>
      </w:r>
      <w:r>
        <w:rPr>
          <w:rFonts w:ascii="仿宋" w:hAnsi="仿宋" w:eastAsia="仿宋"/>
          <w:sz w:val="32"/>
          <w:szCs w:val="32"/>
        </w:rPr>
        <w:t>支出进度达到60%、10月底达到90%、12月底不低于95%。</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加强绩效运行监控。按照</w:t>
      </w:r>
      <w:r>
        <w:rPr>
          <w:rFonts w:hint="eastAsia" w:ascii="仿宋" w:hAnsi="仿宋" w:eastAsia="仿宋"/>
          <w:sz w:val="32"/>
          <w:szCs w:val="32"/>
        </w:rPr>
        <w:t>市</w:t>
      </w:r>
      <w:r>
        <w:rPr>
          <w:rFonts w:ascii="仿宋" w:hAnsi="仿宋" w:eastAsia="仿宋"/>
          <w:sz w:val="32"/>
          <w:szCs w:val="32"/>
        </w:rPr>
        <w:t>财政</w:t>
      </w:r>
      <w:r>
        <w:rPr>
          <w:rFonts w:hint="eastAsia" w:ascii="仿宋" w:hAnsi="仿宋" w:eastAsia="仿宋"/>
          <w:sz w:val="32"/>
          <w:szCs w:val="32"/>
        </w:rPr>
        <w:t>局</w:t>
      </w:r>
      <w:r>
        <w:rPr>
          <w:rFonts w:ascii="仿宋" w:hAnsi="仿宋" w:eastAsia="仿宋"/>
          <w:sz w:val="32"/>
          <w:szCs w:val="32"/>
        </w:rPr>
        <w:t>统一部署，建立健全绩效管理监督运行机制，对</w:t>
      </w:r>
      <w:r>
        <w:rPr>
          <w:rFonts w:hint="eastAsia" w:ascii="仿宋" w:hAnsi="仿宋" w:eastAsia="仿宋"/>
          <w:sz w:val="32"/>
          <w:szCs w:val="32"/>
        </w:rPr>
        <w:t>旅游和</w:t>
      </w:r>
      <w:r>
        <w:rPr>
          <w:rFonts w:ascii="仿宋" w:hAnsi="仿宋" w:eastAsia="仿宋"/>
          <w:sz w:val="32"/>
          <w:szCs w:val="32"/>
        </w:rPr>
        <w:t>文化</w:t>
      </w:r>
      <w:r>
        <w:rPr>
          <w:rFonts w:hint="eastAsia" w:ascii="仿宋" w:hAnsi="仿宋" w:eastAsia="仿宋"/>
          <w:sz w:val="32"/>
          <w:szCs w:val="32"/>
        </w:rPr>
        <w:t>广电系</w:t>
      </w:r>
      <w:r>
        <w:rPr>
          <w:rFonts w:ascii="仿宋" w:hAnsi="仿宋" w:eastAsia="仿宋"/>
          <w:sz w:val="32"/>
          <w:szCs w:val="32"/>
        </w:rPr>
        <w:t>统预算单位项目支出绩效目标实现情况和预算执行进度开展运行监督，确保财政资金安全、高效运行，确保绩效目标如期实现。</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认真开展绩效自评。按照</w:t>
      </w:r>
      <w:r>
        <w:rPr>
          <w:rFonts w:hint="eastAsia" w:ascii="仿宋" w:hAnsi="仿宋" w:eastAsia="仿宋"/>
          <w:sz w:val="32"/>
          <w:szCs w:val="32"/>
        </w:rPr>
        <w:t>市</w:t>
      </w:r>
      <w:r>
        <w:rPr>
          <w:rFonts w:ascii="仿宋" w:hAnsi="仿宋" w:eastAsia="仿宋"/>
          <w:sz w:val="32"/>
          <w:szCs w:val="32"/>
        </w:rPr>
        <w:t>财政</w:t>
      </w:r>
      <w:r>
        <w:rPr>
          <w:rFonts w:hint="eastAsia" w:ascii="仿宋" w:hAnsi="仿宋" w:eastAsia="仿宋"/>
          <w:sz w:val="32"/>
          <w:szCs w:val="32"/>
        </w:rPr>
        <w:t>局</w:t>
      </w:r>
      <w:r>
        <w:rPr>
          <w:rFonts w:ascii="仿宋" w:hAnsi="仿宋" w:eastAsia="仿宋"/>
          <w:sz w:val="32"/>
          <w:szCs w:val="32"/>
        </w:rPr>
        <w:t>要求，开展2019年度部门预算绩效自评工作，委托第三方开展重点项目绩效评价工作，对自评和绩效评价中发现的问题及时整改到位，确保投入的财政资金取得实实在在的效益，实现社会效益和经济效益的统一</w:t>
      </w:r>
      <w:r>
        <w:rPr>
          <w:rFonts w:hint="eastAsia" w:ascii="仿宋" w:hAnsi="仿宋" w:eastAsia="仿宋"/>
          <w:sz w:val="32"/>
          <w:szCs w:val="32"/>
        </w:rPr>
        <w:t>，并</w:t>
      </w:r>
      <w:r>
        <w:rPr>
          <w:rFonts w:ascii="仿宋" w:hAnsi="仿宋" w:eastAsia="仿宋"/>
          <w:sz w:val="32"/>
          <w:szCs w:val="32"/>
        </w:rPr>
        <w:t>将绩效评价结果作为专项资金安排的重要参考依据。</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规范财务资产管理。严格经费预算管理，增强预算刚性约束，修订完善《</w:t>
      </w:r>
      <w:r>
        <w:rPr>
          <w:rFonts w:hint="eastAsia" w:ascii="仿宋" w:hAnsi="仿宋" w:eastAsia="仿宋"/>
          <w:sz w:val="32"/>
          <w:szCs w:val="32"/>
        </w:rPr>
        <w:t>承德市旅游和</w:t>
      </w:r>
      <w:r>
        <w:rPr>
          <w:rFonts w:ascii="仿宋" w:hAnsi="仿宋" w:eastAsia="仿宋"/>
          <w:sz w:val="32"/>
          <w:szCs w:val="32"/>
        </w:rPr>
        <w:t>文化</w:t>
      </w:r>
      <w:r>
        <w:rPr>
          <w:rFonts w:hint="eastAsia" w:ascii="仿宋" w:hAnsi="仿宋" w:eastAsia="仿宋"/>
          <w:sz w:val="32"/>
          <w:szCs w:val="32"/>
        </w:rPr>
        <w:t>广电局</w:t>
      </w:r>
      <w:r>
        <w:rPr>
          <w:rFonts w:ascii="仿宋" w:hAnsi="仿宋" w:eastAsia="仿宋"/>
          <w:sz w:val="32"/>
          <w:szCs w:val="32"/>
        </w:rPr>
        <w:t>财务管理</w:t>
      </w:r>
      <w:r>
        <w:rPr>
          <w:rFonts w:hint="eastAsia" w:ascii="仿宋" w:hAnsi="仿宋" w:eastAsia="仿宋"/>
          <w:sz w:val="32"/>
          <w:szCs w:val="32"/>
        </w:rPr>
        <w:t>制度</w:t>
      </w:r>
      <w:r>
        <w:rPr>
          <w:rFonts w:ascii="仿宋" w:hAnsi="仿宋" w:eastAsia="仿宋"/>
          <w:sz w:val="32"/>
          <w:szCs w:val="32"/>
        </w:rPr>
        <w:t>》等一系列内部财务管理办法，最大限度地降低财务风险。加强国有资产管理，做好</w:t>
      </w:r>
      <w:r>
        <w:rPr>
          <w:rFonts w:hint="eastAsia" w:ascii="仿宋" w:hAnsi="仿宋" w:eastAsia="仿宋"/>
          <w:sz w:val="32"/>
          <w:szCs w:val="32"/>
        </w:rPr>
        <w:t>局</w:t>
      </w:r>
      <w:r>
        <w:rPr>
          <w:rFonts w:ascii="仿宋" w:hAnsi="仿宋" w:eastAsia="仿宋"/>
          <w:sz w:val="32"/>
          <w:szCs w:val="32"/>
        </w:rPr>
        <w:t>系统国有资产购置、出租出借、资产处置等工作，不定期对</w:t>
      </w:r>
      <w:r>
        <w:rPr>
          <w:rFonts w:hint="eastAsia" w:ascii="仿宋" w:hAnsi="仿宋" w:eastAsia="仿宋"/>
          <w:sz w:val="32"/>
          <w:szCs w:val="32"/>
        </w:rPr>
        <w:t>局属</w:t>
      </w:r>
      <w:r>
        <w:rPr>
          <w:rFonts w:ascii="仿宋" w:hAnsi="仿宋" w:eastAsia="仿宋"/>
          <w:sz w:val="32"/>
          <w:szCs w:val="32"/>
        </w:rPr>
        <w:t>事业单位资产购置、出租出借、资产处置情况进行监督检查，不断规范</w:t>
      </w:r>
      <w:r>
        <w:rPr>
          <w:rFonts w:hint="eastAsia" w:ascii="仿宋" w:hAnsi="仿宋" w:eastAsia="仿宋"/>
          <w:sz w:val="32"/>
          <w:szCs w:val="32"/>
        </w:rPr>
        <w:t>市</w:t>
      </w:r>
      <w:r>
        <w:rPr>
          <w:rFonts w:ascii="仿宋" w:hAnsi="仿宋" w:eastAsia="仿宋"/>
          <w:sz w:val="32"/>
          <w:szCs w:val="32"/>
        </w:rPr>
        <w:t>级事业单位国有资产管理行为，维护国有资产的安全和完整。</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加强内部监督。在财政资金和财务管理方面按照</w:t>
      </w:r>
      <w:r>
        <w:rPr>
          <w:rFonts w:hint="eastAsia" w:ascii="仿宋" w:hAnsi="仿宋" w:eastAsia="仿宋"/>
          <w:sz w:val="32"/>
          <w:szCs w:val="32"/>
        </w:rPr>
        <w:t>“</w:t>
      </w:r>
      <w:r>
        <w:rPr>
          <w:rFonts w:ascii="仿宋" w:hAnsi="仿宋" w:eastAsia="仿宋"/>
          <w:sz w:val="32"/>
          <w:szCs w:val="32"/>
        </w:rPr>
        <w:t>权责一致、有效制衡、分事行权、分岗设权、分级授权</w:t>
      </w:r>
      <w:r>
        <w:rPr>
          <w:rFonts w:hint="eastAsia" w:ascii="仿宋" w:hAnsi="仿宋" w:eastAsia="仿宋"/>
          <w:sz w:val="32"/>
          <w:szCs w:val="32"/>
        </w:rPr>
        <w:t>”</w:t>
      </w:r>
      <w:r>
        <w:rPr>
          <w:rFonts w:ascii="仿宋" w:hAnsi="仿宋" w:eastAsia="仿宋"/>
          <w:sz w:val="32"/>
          <w:szCs w:val="32"/>
        </w:rPr>
        <w:t>的原则建立内部控制制度，防止权力滥用。科学设置内部岗位职责，对资金分配使用、国有资产监管、基建工程项目、政府采购等重点领域的关键岗位，按照相互制约、相互监督的原则，科学设置内设岗位、管理层级、职责权限，细化权力运行流程，并实行定期轮岗，严控岗位廉政风险。加强对下属单位管理，特别是对财务工作的监管指导。充分发挥内部审计作用，及时消除存在的问题，确保财政资金安全。</w:t>
      </w:r>
    </w:p>
    <w:p>
      <w:pPr>
        <w:spacing w:line="600" w:lineRule="exact"/>
        <w:ind w:firstLine="640"/>
        <w:jc w:val="left"/>
        <w:outlineLvl w:val="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加强宣传培训。加强财务人员业务培训，认真组织学习预算法、会计准则、会计制度等法律法规，努力提高</w:t>
      </w:r>
      <w:r>
        <w:rPr>
          <w:rFonts w:hint="eastAsia" w:ascii="仿宋" w:hAnsi="仿宋" w:eastAsia="仿宋"/>
          <w:sz w:val="32"/>
          <w:szCs w:val="32"/>
        </w:rPr>
        <w:t>旅游和</w:t>
      </w:r>
      <w:r>
        <w:rPr>
          <w:rFonts w:ascii="仿宋" w:hAnsi="仿宋" w:eastAsia="仿宋"/>
          <w:sz w:val="32"/>
          <w:szCs w:val="32"/>
        </w:rPr>
        <w:t>文化</w:t>
      </w:r>
      <w:r>
        <w:rPr>
          <w:rFonts w:hint="eastAsia" w:ascii="仿宋" w:hAnsi="仿宋" w:eastAsia="仿宋"/>
          <w:sz w:val="32"/>
          <w:szCs w:val="32"/>
        </w:rPr>
        <w:t>广电</w:t>
      </w:r>
      <w:r>
        <w:rPr>
          <w:rFonts w:ascii="仿宋" w:hAnsi="仿宋" w:eastAsia="仿宋"/>
          <w:sz w:val="32"/>
          <w:szCs w:val="32"/>
        </w:rPr>
        <w:t>系统各单位的财务管理水平。</w:t>
      </w:r>
    </w:p>
    <w:p>
      <w:pPr>
        <w:spacing w:line="600" w:lineRule="exact"/>
        <w:ind w:firstLine="640"/>
        <w:jc w:val="left"/>
        <w:outlineLvl w:val="0"/>
        <w:rPr>
          <w:rFonts w:asciiTheme="minorEastAsia" w:hAnsiTheme="minorEastAsia" w:eastAsiaTheme="minorEastAsia"/>
          <w:b/>
          <w:sz w:val="32"/>
          <w:szCs w:val="32"/>
        </w:rPr>
      </w:pPr>
      <w:r>
        <w:rPr>
          <w:rFonts w:hint="eastAsia" w:asciiTheme="minorEastAsia" w:hAnsiTheme="minorEastAsia" w:eastAsiaTheme="minorEastAsia"/>
          <w:b/>
          <w:sz w:val="32"/>
          <w:szCs w:val="32"/>
        </w:rPr>
        <w:t>第二部分  专项资金绩效目标</w:t>
      </w:r>
    </w:p>
    <w:p>
      <w:pPr>
        <w:jc w:val="center"/>
        <w:rPr>
          <w:rFonts w:ascii="Times New Roman" w:hAnsi="宋体"/>
          <w:sz w:val="32"/>
          <w:szCs w:val="32"/>
        </w:rPr>
      </w:pPr>
      <w:r>
        <w:rPr>
          <w:rFonts w:ascii="方正书宋_GBK" w:eastAsia="方正书宋_GBK"/>
          <w:sz w:val="32"/>
          <w:szCs w:val="32"/>
        </w:rPr>
        <w:t xml:space="preserve"> </w:t>
      </w:r>
    </w:p>
    <w:p>
      <w:pPr>
        <w:jc w:val="center"/>
        <w:sectPr>
          <w:pgSz w:w="11907" w:h="16839"/>
          <w:pgMar w:top="1984" w:right="1304" w:bottom="1134" w:left="1304" w:header="851" w:footer="992" w:gutter="0"/>
          <w:cols w:space="425" w:num="1"/>
          <w:docGrid w:type="lines" w:linePitch="312" w:charSpace="0"/>
        </w:sectPr>
      </w:pPr>
    </w:p>
    <w:p>
      <w:pPr>
        <w:ind w:firstLine="560" w:firstLineChars="200"/>
        <w:jc w:val="left"/>
        <w:outlineLvl w:val="1"/>
        <w:rPr>
          <w:rFonts w:ascii="Times New Roman" w:hAnsi="宋体"/>
          <w:b/>
          <w:sz w:val="28"/>
        </w:rPr>
      </w:pPr>
      <w:r>
        <w:rPr>
          <w:rFonts w:hint="eastAsia" w:ascii="方正仿宋_GBK" w:eastAsia="方正仿宋_GBK"/>
          <w:b/>
          <w:sz w:val="28"/>
        </w:rPr>
        <w:t>1、2020年免费开放配套资金项目绩效目标表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35007190"/>
      <w:r>
        <w:rPr>
          <w:rFonts w:hint="eastAsia" w:ascii="方正仿宋_GBK" w:eastAsia="方正仿宋_GBK"/>
          <w:b/>
          <w:sz w:val="28"/>
        </w:rPr>
        <w:instrText xml:space="preserve">1、2020年免费开放配套资金项目绩效目标表</w:instrText>
      </w:r>
      <w:bookmarkEnd w:id="4"/>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475"/>
        <w:gridCol w:w="1388"/>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609"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000-9999-JSN-H262</w:t>
            </w:r>
          </w:p>
        </w:tc>
        <w:tc>
          <w:tcPr>
            <w:tcW w:w="138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年免费开放配套资金项目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475" w:type="dxa"/>
            <w:shd w:val="clear" w:color="auto" w:fill="auto"/>
            <w:vAlign w:val="center"/>
          </w:tcPr>
          <w:p>
            <w:pPr>
              <w:spacing w:line="300" w:lineRule="exact"/>
              <w:jc w:val="left"/>
              <w:rPr>
                <w:rFonts w:ascii="方正书宋_GBK" w:eastAsia="方正书宋_GBK"/>
              </w:rPr>
            </w:pPr>
            <w:r>
              <w:rPr>
                <w:rFonts w:ascii="方正书宋_GBK" w:eastAsia="方正书宋_GBK"/>
              </w:rPr>
              <w:t>25.00</w:t>
            </w:r>
          </w:p>
        </w:tc>
        <w:tc>
          <w:tcPr>
            <w:tcW w:w="138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我馆将免费资金主要用于承担全市文化活动的开展、宣传推广等工作。开展基层文辅导培训班，举办普及性文化艺术培训项目、公益性类讲座，以及对基层文化骨干进行业务辅导，对免费开放的场馆、展馆、排练厅等场所进行日常的维护和修缮等工作。实现承德市群众艺术馆无障碍、零门槛进入，公共空间设施场地全部免费开放，所提供的基本服务项目全部免费，群众文化服务项目进一步健全，服务水平和质量明显得到提升。广大公众能够享受到更好的文化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609"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388"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609"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6.25</w:t>
            </w:r>
          </w:p>
        </w:tc>
        <w:tc>
          <w:tcPr>
            <w:tcW w:w="1388"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12.50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18.75</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、对免费开放场馆、展馆、排练厅等场所进行日常的维护和修缮等工作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、完成全市文化活动的开展、宣传推广等工作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900"/>
        <w:gridCol w:w="1701"/>
        <w:gridCol w:w="1842"/>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0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84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9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按照要求和计划完成研究任务的项目在所有立项项目中的比例（百分比）</w:t>
            </w:r>
          </w:p>
        </w:tc>
        <w:tc>
          <w:tcPr>
            <w:tcW w:w="184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完成全市文化活动开展、辅导、培训、宣传推广</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依据文件结合实际工作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开展外宣活动数量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反映开展外宣活动情况</w:t>
            </w:r>
          </w:p>
        </w:tc>
        <w:tc>
          <w:tcPr>
            <w:tcW w:w="184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完成年初计划场次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结合实际工作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产生重要影响的作品数量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两年内，在全国展演、展映、展播、展示或出版发行的作品数量。</w:t>
            </w:r>
          </w:p>
        </w:tc>
        <w:tc>
          <w:tcPr>
            <w:tcW w:w="184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结合实际工作</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以实际数字计算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9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文化产业对坚定河北文化自信、推动社会主义核心价值观建设、打造河北文化软实力、满足人民群众过上美好生活的新期待、提供丰富的精神文化食粮等方面产生的效果</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反映文化产业在增强文化软实力，推动经济社会发展中的积极作用</w:t>
            </w:r>
          </w:p>
        </w:tc>
        <w:tc>
          <w:tcPr>
            <w:tcW w:w="184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完成全市文化活动开展、辅导、培训、宣传推广</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依据文件结合实践工作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9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84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完成全市文化活动开展、辅导、培训、宣传推广</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依据文件结合实际工作</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ind w:firstLine="560" w:firstLineChars="200"/>
        <w:jc w:val="left"/>
        <w:outlineLvl w:val="1"/>
        <w:rPr>
          <w:rFonts w:ascii="Times New Roman" w:hAnsi="宋体"/>
          <w:b/>
          <w:sz w:val="28"/>
        </w:rPr>
      </w:pPr>
      <w:r>
        <w:rPr>
          <w:rFonts w:hint="eastAsia" w:ascii="方正仿宋_GBK" w:eastAsia="方正仿宋_GBK"/>
          <w:b/>
          <w:sz w:val="28"/>
        </w:rPr>
        <w:t>2、A级旅游景区评定与复核绩效目标表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35007191"/>
      <w:r>
        <w:rPr>
          <w:rFonts w:hint="eastAsia" w:ascii="方正仿宋_GBK" w:eastAsia="方正仿宋_GBK"/>
          <w:b/>
          <w:sz w:val="28"/>
        </w:rPr>
        <w:instrText xml:space="preserve">2、A级旅游景区评定与复核绩效目标表</w:instrText>
      </w:r>
      <w:bookmarkEnd w:id="5"/>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000-9999-JSN-2LX4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A</w:t>
            </w:r>
            <w:r>
              <w:rPr>
                <w:rFonts w:hint="eastAsia" w:ascii="方正书宋_GBK" w:eastAsia="方正书宋_GBK"/>
              </w:rPr>
              <w:t>级旅游景区评定与复核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景区质量等级评定和复核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、景区复核工作督促景区提升管理和服务水平，维护</w:t>
            </w:r>
            <w:r>
              <w:rPr>
                <w:rFonts w:ascii="方正书宋_GBK" w:eastAsia="方正书宋_GBK"/>
              </w:rPr>
              <w:t>A</w:t>
            </w:r>
            <w:r>
              <w:rPr>
                <w:rFonts w:hint="eastAsia" w:ascii="方正书宋_GBK" w:eastAsia="方正书宋_GBK"/>
              </w:rPr>
              <w:t>级旅游景区品牌形象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、景区评定工作是以创建</w:t>
            </w:r>
            <w:r>
              <w:rPr>
                <w:rFonts w:ascii="方正书宋_GBK" w:eastAsia="方正书宋_GBK"/>
              </w:rPr>
              <w:t>A</w:t>
            </w:r>
            <w:r>
              <w:rPr>
                <w:rFonts w:hint="eastAsia" w:ascii="方正书宋_GBK" w:eastAsia="方正书宋_GBK"/>
              </w:rPr>
              <w:t>级旅游景区为抓手，促旅游产业转型升级，增加旅游新产品、新业态供给，加快我市国家级全域旅游示范市和国际旅游城市创建步伐。</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616"/>
        <w:gridCol w:w="2694"/>
        <w:gridCol w:w="15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61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69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55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优良率</w:t>
            </w:r>
          </w:p>
        </w:tc>
        <w:tc>
          <w:tcPr>
            <w:tcW w:w="161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结项鉴定优秀等级项目数量占结项总数量的比例（百分比）</w:t>
            </w:r>
          </w:p>
        </w:tc>
        <w:tc>
          <w:tcPr>
            <w:tcW w:w="269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景区复核工作督促景区提升管理和服务水平，维护</w:t>
            </w:r>
            <w:r>
              <w:rPr>
                <w:rFonts w:ascii="方正书宋_GBK" w:eastAsia="方正书宋_GBK"/>
              </w:rPr>
              <w:t>A</w:t>
            </w:r>
            <w:r>
              <w:rPr>
                <w:rFonts w:hint="eastAsia" w:ascii="方正书宋_GBK" w:eastAsia="方正书宋_GBK"/>
              </w:rPr>
              <w:t>级旅游景区品牌形象</w:t>
            </w:r>
          </w:p>
        </w:tc>
        <w:tc>
          <w:tcPr>
            <w:tcW w:w="15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161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全年景区覆盖情况</w:t>
            </w:r>
          </w:p>
        </w:tc>
        <w:tc>
          <w:tcPr>
            <w:tcW w:w="269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景区评定工作是以创建</w:t>
            </w:r>
            <w:r>
              <w:rPr>
                <w:rFonts w:ascii="方正书宋_GBK" w:eastAsia="方正书宋_GBK"/>
              </w:rPr>
              <w:t>A</w:t>
            </w:r>
            <w:r>
              <w:rPr>
                <w:rFonts w:hint="eastAsia" w:ascii="方正书宋_GBK" w:eastAsia="方正书宋_GBK"/>
              </w:rPr>
              <w:t>级旅游景区为抓手，促旅游产业转型升级，增加旅游新产品、新业态供给，加快我市国家级全域旅游示范市和国际旅游城市创建步伐。</w:t>
            </w:r>
          </w:p>
        </w:tc>
        <w:tc>
          <w:tcPr>
            <w:tcW w:w="15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161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按照要求和计划完成研究任务的项目在所有立项项目中的比例（百分比）</w:t>
            </w:r>
          </w:p>
        </w:tc>
        <w:tc>
          <w:tcPr>
            <w:tcW w:w="269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景区评定工作是以创建</w:t>
            </w:r>
            <w:r>
              <w:rPr>
                <w:rFonts w:ascii="方正书宋_GBK" w:eastAsia="方正书宋_GBK"/>
              </w:rPr>
              <w:t>A</w:t>
            </w:r>
            <w:r>
              <w:rPr>
                <w:rFonts w:hint="eastAsia" w:ascii="方正书宋_GBK" w:eastAsia="方正书宋_GBK"/>
              </w:rPr>
              <w:t>级旅游景区为抓手，促旅游产业转型升级，增加旅游新产品、新业态供给，加快我市国家级全域旅游示范市和国际旅游城市创建步伐。</w:t>
            </w:r>
          </w:p>
        </w:tc>
        <w:tc>
          <w:tcPr>
            <w:tcW w:w="15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满意率</w:t>
            </w:r>
          </w:p>
        </w:tc>
        <w:tc>
          <w:tcPr>
            <w:tcW w:w="161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评定优秀景区满意率</w:t>
            </w:r>
          </w:p>
        </w:tc>
        <w:tc>
          <w:tcPr>
            <w:tcW w:w="269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景区评定工作是以创建</w:t>
            </w:r>
            <w:r>
              <w:rPr>
                <w:rFonts w:ascii="方正书宋_GBK" w:eastAsia="方正书宋_GBK"/>
              </w:rPr>
              <w:t>A</w:t>
            </w:r>
            <w:r>
              <w:rPr>
                <w:rFonts w:hint="eastAsia" w:ascii="方正书宋_GBK" w:eastAsia="方正书宋_GBK"/>
              </w:rPr>
              <w:t>级旅游景区为抓手，促旅游产业转型升级，增加旅游新产品、新业态供给，加快我市国家级全域旅游示范市和国际旅游城市创建步伐。</w:t>
            </w:r>
          </w:p>
        </w:tc>
        <w:tc>
          <w:tcPr>
            <w:tcW w:w="15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全省文化产业对国民经济发展的贡献率</w:t>
            </w:r>
          </w:p>
        </w:tc>
        <w:tc>
          <w:tcPr>
            <w:tcW w:w="161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反映文化产业对经济发展的拉动作用</w:t>
            </w:r>
          </w:p>
        </w:tc>
        <w:tc>
          <w:tcPr>
            <w:tcW w:w="269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景区评定工作是以创建</w:t>
            </w:r>
            <w:r>
              <w:rPr>
                <w:rFonts w:ascii="方正书宋_GBK" w:eastAsia="方正书宋_GBK"/>
              </w:rPr>
              <w:t>A</w:t>
            </w:r>
            <w:r>
              <w:rPr>
                <w:rFonts w:hint="eastAsia" w:ascii="方正书宋_GBK" w:eastAsia="方正书宋_GBK"/>
              </w:rPr>
              <w:t>级旅游景区为抓手，促旅游产业转型升级，增加旅游新产品、新业态供给，加快我市国家级全域旅游示范市和国际旅游城市创建步伐。</w:t>
            </w:r>
          </w:p>
        </w:tc>
        <w:tc>
          <w:tcPr>
            <w:tcW w:w="15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161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269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景区评定工作是以创建</w:t>
            </w:r>
            <w:r>
              <w:rPr>
                <w:rFonts w:ascii="方正书宋_GBK" w:eastAsia="方正书宋_GBK"/>
              </w:rPr>
              <w:t>A</w:t>
            </w:r>
            <w:r>
              <w:rPr>
                <w:rFonts w:hint="eastAsia" w:ascii="方正书宋_GBK" w:eastAsia="方正书宋_GBK"/>
              </w:rPr>
              <w:t>级旅游景区为抓手，促旅游产业转型升级，增加旅游新产品、新业态供给，加快我市国家级全域旅游示范市和国际旅游城市创建步伐。</w:t>
            </w:r>
          </w:p>
        </w:tc>
        <w:tc>
          <w:tcPr>
            <w:tcW w:w="15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61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269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景区评定工作是以创建</w:t>
            </w:r>
            <w:r>
              <w:rPr>
                <w:rFonts w:ascii="方正书宋_GBK" w:eastAsia="方正书宋_GBK"/>
              </w:rPr>
              <w:t>A</w:t>
            </w:r>
            <w:r>
              <w:rPr>
                <w:rFonts w:hint="eastAsia" w:ascii="方正书宋_GBK" w:eastAsia="方正书宋_GBK"/>
              </w:rPr>
              <w:t>级旅游景区为抓手，促旅游产业转型升级，增加旅游新产品、新业态供给，加快我市国家级全域旅游示范市和国际旅游城市创建步伐。</w:t>
            </w:r>
          </w:p>
        </w:tc>
        <w:tc>
          <w:tcPr>
            <w:tcW w:w="15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61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群众的整体满意度</w:t>
            </w:r>
          </w:p>
        </w:tc>
        <w:tc>
          <w:tcPr>
            <w:tcW w:w="269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景区评定工作是以创建</w:t>
            </w:r>
            <w:r>
              <w:rPr>
                <w:rFonts w:ascii="方正书宋_GBK" w:eastAsia="方正书宋_GBK"/>
              </w:rPr>
              <w:t>A</w:t>
            </w:r>
            <w:r>
              <w:rPr>
                <w:rFonts w:hint="eastAsia" w:ascii="方正书宋_GBK" w:eastAsia="方正书宋_GBK"/>
              </w:rPr>
              <w:t>级旅游景区为抓手，促旅游产业转型升级，增加旅游新产品、新业态供给，加快我市国家级全域旅游示范市和国际旅游城市创建步伐。</w:t>
            </w:r>
          </w:p>
        </w:tc>
        <w:tc>
          <w:tcPr>
            <w:tcW w:w="15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3、参加文博会展绩效目标表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35007192"/>
      <w:r>
        <w:rPr>
          <w:rFonts w:hint="eastAsia" w:ascii="方正仿宋_GBK" w:eastAsia="方正仿宋_GBK"/>
          <w:b/>
          <w:sz w:val="28"/>
        </w:rPr>
        <w:instrText xml:space="preserve">3、参加文博会展绩效目标表</w:instrText>
      </w:r>
      <w:bookmarkEnd w:id="6"/>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000-9999-JSN-NT6F</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参加文博会展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参加文博会展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、充分发挥深圳文博会对我省文化产业的带动作用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、参加省文化旅游重点项目签约、推介等活动。</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325"/>
        <w:gridCol w:w="1842"/>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32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84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32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按照要求和计划完成研究任务的项目在所有立项项目中的比例（百分比）</w:t>
            </w:r>
          </w:p>
        </w:tc>
        <w:tc>
          <w:tcPr>
            <w:tcW w:w="184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充分发挥深圳文博会对我省文化产业的带动作用</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根据具体工作需要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32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按照要求和计划完成研究任务的项目在所有立项项目中的比例（百分比）</w:t>
            </w:r>
          </w:p>
        </w:tc>
        <w:tc>
          <w:tcPr>
            <w:tcW w:w="184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充分发挥深圳文博会对我省文化产业的带动作用</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根据具体工作需要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开展宣传方式的品种或数量（次或种）</w:t>
            </w:r>
          </w:p>
        </w:tc>
        <w:tc>
          <w:tcPr>
            <w:tcW w:w="232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反映开展对外宣传形式的多样性</w:t>
            </w:r>
          </w:p>
        </w:tc>
        <w:tc>
          <w:tcPr>
            <w:tcW w:w="184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参加省文化旅游重点项目签约、推介等活动</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根据具体工作需要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优良率</w:t>
            </w:r>
          </w:p>
        </w:tc>
        <w:tc>
          <w:tcPr>
            <w:tcW w:w="232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结项鉴定优秀等级项目数量占结项总数量的比例（百分比）</w:t>
            </w:r>
          </w:p>
        </w:tc>
        <w:tc>
          <w:tcPr>
            <w:tcW w:w="184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参加省文化旅游重点项目签约、推介等活动</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根据具体工作需要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32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84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充分发挥深圳文博会对我省文化产业的带动作用</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根据具体工作需要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32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84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参加省文化旅游重点项目签约、推介等活动</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根据具体工作需要</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4、第四届承德市旅游产业发展大会绩效目标表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 w:name="_Toc35007193"/>
      <w:r>
        <w:rPr>
          <w:rFonts w:hint="eastAsia" w:ascii="方正仿宋_GBK" w:eastAsia="方正仿宋_GBK"/>
          <w:b/>
          <w:sz w:val="28"/>
        </w:rPr>
        <w:instrText xml:space="preserve">4、第四届承德市旅游产业发展大会绩效目标表</w:instrText>
      </w:r>
      <w:bookmarkEnd w:id="7"/>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000-9999-JSN-460N</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第四届承德市旅游产业发展大会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第四届承德市旅游产业发展大会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、促进旅游业与其他产业融合发展，不断提升优化</w:t>
            </w:r>
            <w:r>
              <w:rPr>
                <w:rFonts w:hint="cs" w:ascii="方正书宋_GBK" w:eastAsia="方正书宋_GBK"/>
              </w:rPr>
              <w:t>“</w:t>
            </w:r>
            <w:r>
              <w:rPr>
                <w:rFonts w:hint="eastAsia" w:ascii="方正书宋_GBK" w:eastAsia="方正书宋_GBK"/>
              </w:rPr>
              <w:t>旅游</w:t>
            </w:r>
            <w:r>
              <w:rPr>
                <w:rFonts w:ascii="方正书宋_GBK" w:eastAsia="方正书宋_GBK"/>
              </w:rPr>
              <w:t>+”</w:t>
            </w:r>
            <w:r>
              <w:rPr>
                <w:rFonts w:hint="eastAsia" w:ascii="方正书宋_GBK" w:eastAsia="方正书宋_GBK"/>
              </w:rPr>
              <w:t>和</w:t>
            </w:r>
            <w:r>
              <w:rPr>
                <w:rFonts w:hint="cs" w:ascii="方正书宋_GBK" w:eastAsia="方正书宋_GBK"/>
              </w:rPr>
              <w:t>“</w:t>
            </w:r>
            <w:r>
              <w:rPr>
                <w:rFonts w:ascii="方正书宋_GBK" w:eastAsia="方正书宋_GBK"/>
              </w:rPr>
              <w:t>+</w:t>
            </w:r>
            <w:r>
              <w:rPr>
                <w:rFonts w:hint="eastAsia" w:ascii="方正书宋_GBK" w:eastAsia="方正书宋_GBK"/>
              </w:rPr>
              <w:t>旅游</w:t>
            </w:r>
            <w:r>
              <w:rPr>
                <w:rFonts w:hint="cs" w:ascii="方正书宋_GBK" w:eastAsia="方正书宋_GBK"/>
              </w:rPr>
              <w:t>”</w:t>
            </w:r>
            <w:r>
              <w:rPr>
                <w:rFonts w:hint="eastAsia" w:ascii="方正书宋_GBK" w:eastAsia="方正书宋_GBK"/>
              </w:rPr>
              <w:t>产业质量，助推承德旅游转型升级，绿色发展。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、完善旅游交通网、旅游服务网和智慧旅游网三网建设，进一步推进智慧旅游服务体系建设。坚持不懈地打造知名品牌，构建立体式营销体系，全面提升承德旅游影响力。</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616"/>
        <w:gridCol w:w="2551"/>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61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游客增长率</w:t>
            </w:r>
          </w:p>
        </w:tc>
        <w:tc>
          <w:tcPr>
            <w:tcW w:w="161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游客同期增长比率</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促进旅游业与其他产业融合发展，不断提升优化</w:t>
            </w:r>
            <w:r>
              <w:rPr>
                <w:rFonts w:hint="cs" w:ascii="方正书宋_GBK" w:eastAsia="方正书宋_GBK"/>
              </w:rPr>
              <w:t>“</w:t>
            </w:r>
            <w:r>
              <w:rPr>
                <w:rFonts w:hint="eastAsia" w:ascii="方正书宋_GBK" w:eastAsia="方正书宋_GBK"/>
              </w:rPr>
              <w:t>旅游</w:t>
            </w:r>
            <w:r>
              <w:rPr>
                <w:rFonts w:ascii="方正书宋_GBK" w:eastAsia="方正书宋_GBK"/>
              </w:rPr>
              <w:t>+”</w:t>
            </w:r>
            <w:r>
              <w:rPr>
                <w:rFonts w:hint="eastAsia" w:ascii="方正书宋_GBK" w:eastAsia="方正书宋_GBK"/>
              </w:rPr>
              <w:t>和</w:t>
            </w:r>
            <w:r>
              <w:rPr>
                <w:rFonts w:hint="cs" w:ascii="方正书宋_GBK" w:eastAsia="方正书宋_GBK"/>
              </w:rPr>
              <w:t>“</w:t>
            </w:r>
            <w:r>
              <w:rPr>
                <w:rFonts w:ascii="方正书宋_GBK" w:eastAsia="方正书宋_GBK"/>
              </w:rPr>
              <w:t>+</w:t>
            </w:r>
            <w:r>
              <w:rPr>
                <w:rFonts w:hint="eastAsia" w:ascii="方正书宋_GBK" w:eastAsia="方正书宋_GBK"/>
              </w:rPr>
              <w:t>旅游</w:t>
            </w:r>
            <w:r>
              <w:rPr>
                <w:rFonts w:hint="cs" w:ascii="方正书宋_GBK" w:eastAsia="方正书宋_GBK"/>
              </w:rPr>
              <w:t>”</w:t>
            </w:r>
            <w:r>
              <w:rPr>
                <w:rFonts w:hint="eastAsia" w:ascii="方正书宋_GBK" w:eastAsia="方正书宋_GBK"/>
              </w:rPr>
              <w:t>产业质量，助推承德旅游转型升级，绿色发展。面提升承德旅游影响力。</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完成率旅游收入增长率</w:t>
            </w:r>
          </w:p>
        </w:tc>
        <w:tc>
          <w:tcPr>
            <w:tcW w:w="161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旅游收入同期增长率</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促进旅游业与其他产业融合发展，不断提升优化</w:t>
            </w:r>
            <w:r>
              <w:rPr>
                <w:rFonts w:hint="cs" w:ascii="方正书宋_GBK" w:eastAsia="方正书宋_GBK"/>
              </w:rPr>
              <w:t>“</w:t>
            </w:r>
            <w:r>
              <w:rPr>
                <w:rFonts w:hint="eastAsia" w:ascii="方正书宋_GBK" w:eastAsia="方正书宋_GBK"/>
              </w:rPr>
              <w:t>旅游</w:t>
            </w:r>
            <w:r>
              <w:rPr>
                <w:rFonts w:ascii="方正书宋_GBK" w:eastAsia="方正书宋_GBK"/>
              </w:rPr>
              <w:t>+”</w:t>
            </w:r>
            <w:r>
              <w:rPr>
                <w:rFonts w:hint="eastAsia" w:ascii="方正书宋_GBK" w:eastAsia="方正书宋_GBK"/>
              </w:rPr>
              <w:t>和</w:t>
            </w:r>
            <w:r>
              <w:rPr>
                <w:rFonts w:hint="cs" w:ascii="方正书宋_GBK" w:eastAsia="方正书宋_GBK"/>
              </w:rPr>
              <w:t>“</w:t>
            </w:r>
            <w:r>
              <w:rPr>
                <w:rFonts w:ascii="方正书宋_GBK" w:eastAsia="方正书宋_GBK"/>
              </w:rPr>
              <w:t>+</w:t>
            </w:r>
            <w:r>
              <w:rPr>
                <w:rFonts w:hint="eastAsia" w:ascii="方正书宋_GBK" w:eastAsia="方正书宋_GBK"/>
              </w:rPr>
              <w:t>旅游</w:t>
            </w:r>
            <w:r>
              <w:rPr>
                <w:rFonts w:hint="cs" w:ascii="方正书宋_GBK" w:eastAsia="方正书宋_GBK"/>
              </w:rPr>
              <w:t>”</w:t>
            </w:r>
            <w:r>
              <w:rPr>
                <w:rFonts w:hint="eastAsia" w:ascii="方正书宋_GBK" w:eastAsia="方正书宋_GBK"/>
              </w:rPr>
              <w:t>产业质量，助推承德旅游转型升级，绿色发展。面提升承德旅游影响力。</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旅游官方微博粉丝增长量</w:t>
            </w:r>
          </w:p>
        </w:tc>
        <w:tc>
          <w:tcPr>
            <w:tcW w:w="161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旅游官方微博粉丝增长数量</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促进旅游业与其他产业融合发展，不断提升优化</w:t>
            </w:r>
            <w:r>
              <w:rPr>
                <w:rFonts w:hint="cs" w:ascii="方正书宋_GBK" w:eastAsia="方正书宋_GBK"/>
              </w:rPr>
              <w:t>“</w:t>
            </w:r>
            <w:r>
              <w:rPr>
                <w:rFonts w:hint="eastAsia" w:ascii="方正书宋_GBK" w:eastAsia="方正书宋_GBK"/>
              </w:rPr>
              <w:t>旅游</w:t>
            </w:r>
            <w:r>
              <w:rPr>
                <w:rFonts w:ascii="方正书宋_GBK" w:eastAsia="方正书宋_GBK"/>
              </w:rPr>
              <w:t>+”</w:t>
            </w:r>
            <w:r>
              <w:rPr>
                <w:rFonts w:hint="eastAsia" w:ascii="方正书宋_GBK" w:eastAsia="方正书宋_GBK"/>
              </w:rPr>
              <w:t>和</w:t>
            </w:r>
            <w:r>
              <w:rPr>
                <w:rFonts w:hint="cs" w:ascii="方正书宋_GBK" w:eastAsia="方正书宋_GBK"/>
              </w:rPr>
              <w:t>“</w:t>
            </w:r>
            <w:r>
              <w:rPr>
                <w:rFonts w:ascii="方正书宋_GBK" w:eastAsia="方正书宋_GBK"/>
              </w:rPr>
              <w:t>+</w:t>
            </w:r>
            <w:r>
              <w:rPr>
                <w:rFonts w:hint="eastAsia" w:ascii="方正书宋_GBK" w:eastAsia="方正书宋_GBK"/>
              </w:rPr>
              <w:t>旅游</w:t>
            </w:r>
            <w:r>
              <w:rPr>
                <w:rFonts w:hint="cs" w:ascii="方正书宋_GBK" w:eastAsia="方正书宋_GBK"/>
              </w:rPr>
              <w:t>”</w:t>
            </w:r>
            <w:r>
              <w:rPr>
                <w:rFonts w:hint="eastAsia" w:ascii="方正书宋_GBK" w:eastAsia="方正书宋_GBK"/>
              </w:rPr>
              <w:t>产业质量，助推承德旅游转型升级，绿色发展。面提升承德旅游影响力。</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组织媒体进行相关采访次数</w:t>
            </w:r>
          </w:p>
        </w:tc>
        <w:tc>
          <w:tcPr>
            <w:tcW w:w="161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组织媒体进行旅游相关采访次数</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促进旅游业与其他产业融合发展，不断提升优化</w:t>
            </w:r>
            <w:r>
              <w:rPr>
                <w:rFonts w:hint="cs" w:ascii="方正书宋_GBK" w:eastAsia="方正书宋_GBK"/>
              </w:rPr>
              <w:t>“</w:t>
            </w:r>
            <w:r>
              <w:rPr>
                <w:rFonts w:hint="eastAsia" w:ascii="方正书宋_GBK" w:eastAsia="方正书宋_GBK"/>
              </w:rPr>
              <w:t>旅游</w:t>
            </w:r>
            <w:r>
              <w:rPr>
                <w:rFonts w:ascii="方正书宋_GBK" w:eastAsia="方正书宋_GBK"/>
              </w:rPr>
              <w:t>+”</w:t>
            </w:r>
            <w:r>
              <w:rPr>
                <w:rFonts w:hint="eastAsia" w:ascii="方正书宋_GBK" w:eastAsia="方正书宋_GBK"/>
              </w:rPr>
              <w:t>和</w:t>
            </w:r>
            <w:r>
              <w:rPr>
                <w:rFonts w:hint="cs" w:ascii="方正书宋_GBK" w:eastAsia="方正书宋_GBK"/>
              </w:rPr>
              <w:t>“</w:t>
            </w:r>
            <w:r>
              <w:rPr>
                <w:rFonts w:ascii="方正书宋_GBK" w:eastAsia="方正书宋_GBK"/>
              </w:rPr>
              <w:t>+</w:t>
            </w:r>
            <w:r>
              <w:rPr>
                <w:rFonts w:hint="eastAsia" w:ascii="方正书宋_GBK" w:eastAsia="方正书宋_GBK"/>
              </w:rPr>
              <w:t>旅游</w:t>
            </w:r>
            <w:r>
              <w:rPr>
                <w:rFonts w:hint="cs" w:ascii="方正书宋_GBK" w:eastAsia="方正书宋_GBK"/>
              </w:rPr>
              <w:t>”</w:t>
            </w:r>
            <w:r>
              <w:rPr>
                <w:rFonts w:hint="eastAsia" w:ascii="方正书宋_GBK" w:eastAsia="方正书宋_GBK"/>
              </w:rPr>
              <w:t>产业质量，助推承德旅游转型升级，绿色发展。面提升承德旅游影响力。</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161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促进旅游业与其他产业融合发展，不断提升优化</w:t>
            </w:r>
            <w:r>
              <w:rPr>
                <w:rFonts w:hint="cs" w:ascii="方正书宋_GBK" w:eastAsia="方正书宋_GBK"/>
              </w:rPr>
              <w:t>“</w:t>
            </w:r>
            <w:r>
              <w:rPr>
                <w:rFonts w:hint="eastAsia" w:ascii="方正书宋_GBK" w:eastAsia="方正书宋_GBK"/>
              </w:rPr>
              <w:t>旅游</w:t>
            </w:r>
            <w:r>
              <w:rPr>
                <w:rFonts w:ascii="方正书宋_GBK" w:eastAsia="方正书宋_GBK"/>
              </w:rPr>
              <w:t>+”</w:t>
            </w:r>
            <w:r>
              <w:rPr>
                <w:rFonts w:hint="eastAsia" w:ascii="方正书宋_GBK" w:eastAsia="方正书宋_GBK"/>
              </w:rPr>
              <w:t>和</w:t>
            </w:r>
            <w:r>
              <w:rPr>
                <w:rFonts w:hint="cs" w:ascii="方正书宋_GBK" w:eastAsia="方正书宋_GBK"/>
              </w:rPr>
              <w:t>“</w:t>
            </w:r>
            <w:r>
              <w:rPr>
                <w:rFonts w:ascii="方正书宋_GBK" w:eastAsia="方正书宋_GBK"/>
              </w:rPr>
              <w:t>+</w:t>
            </w:r>
            <w:r>
              <w:rPr>
                <w:rFonts w:hint="eastAsia" w:ascii="方正书宋_GBK" w:eastAsia="方正书宋_GBK"/>
              </w:rPr>
              <w:t>旅游</w:t>
            </w:r>
            <w:r>
              <w:rPr>
                <w:rFonts w:hint="cs" w:ascii="方正书宋_GBK" w:eastAsia="方正书宋_GBK"/>
              </w:rPr>
              <w:t>”</w:t>
            </w:r>
            <w:r>
              <w:rPr>
                <w:rFonts w:hint="eastAsia" w:ascii="方正书宋_GBK" w:eastAsia="方正书宋_GBK"/>
              </w:rPr>
              <w:t>产业质量，助推承德旅游转型升级，绿色发展。面提升承德旅游影响力。</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带动社会资金投资比</w:t>
            </w:r>
          </w:p>
        </w:tc>
        <w:tc>
          <w:tcPr>
            <w:tcW w:w="161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带动社会资金投入与扶持奖励资金的比例。</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促进旅游业与其他产业融合发展，不断提升优化</w:t>
            </w:r>
            <w:r>
              <w:rPr>
                <w:rFonts w:hint="cs" w:ascii="方正书宋_GBK" w:eastAsia="方正书宋_GBK"/>
              </w:rPr>
              <w:t>“</w:t>
            </w:r>
            <w:r>
              <w:rPr>
                <w:rFonts w:hint="eastAsia" w:ascii="方正书宋_GBK" w:eastAsia="方正书宋_GBK"/>
              </w:rPr>
              <w:t>旅游</w:t>
            </w:r>
            <w:r>
              <w:rPr>
                <w:rFonts w:ascii="方正书宋_GBK" w:eastAsia="方正书宋_GBK"/>
              </w:rPr>
              <w:t>+”</w:t>
            </w:r>
            <w:r>
              <w:rPr>
                <w:rFonts w:hint="eastAsia" w:ascii="方正书宋_GBK" w:eastAsia="方正书宋_GBK"/>
              </w:rPr>
              <w:t>和</w:t>
            </w:r>
            <w:r>
              <w:rPr>
                <w:rFonts w:hint="cs" w:ascii="方正书宋_GBK" w:eastAsia="方正书宋_GBK"/>
              </w:rPr>
              <w:t>“</w:t>
            </w:r>
            <w:r>
              <w:rPr>
                <w:rFonts w:ascii="方正书宋_GBK" w:eastAsia="方正书宋_GBK"/>
              </w:rPr>
              <w:t>+</w:t>
            </w:r>
            <w:r>
              <w:rPr>
                <w:rFonts w:hint="eastAsia" w:ascii="方正书宋_GBK" w:eastAsia="方正书宋_GBK"/>
              </w:rPr>
              <w:t>旅游</w:t>
            </w:r>
            <w:r>
              <w:rPr>
                <w:rFonts w:hint="cs" w:ascii="方正书宋_GBK" w:eastAsia="方正书宋_GBK"/>
              </w:rPr>
              <w:t>”</w:t>
            </w:r>
            <w:r>
              <w:rPr>
                <w:rFonts w:hint="eastAsia" w:ascii="方正书宋_GBK" w:eastAsia="方正书宋_GBK"/>
              </w:rPr>
              <w:t>产业质量，助推承德旅游转型升级，绿色发展。面提升承德旅游影响力。</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61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促进旅游业与其他产业融合发展，不断提升优化</w:t>
            </w:r>
            <w:r>
              <w:rPr>
                <w:rFonts w:hint="cs" w:ascii="方正书宋_GBK" w:eastAsia="方正书宋_GBK"/>
              </w:rPr>
              <w:t>“</w:t>
            </w:r>
            <w:r>
              <w:rPr>
                <w:rFonts w:hint="eastAsia" w:ascii="方正书宋_GBK" w:eastAsia="方正书宋_GBK"/>
              </w:rPr>
              <w:t>旅游</w:t>
            </w:r>
            <w:r>
              <w:rPr>
                <w:rFonts w:ascii="方正书宋_GBK" w:eastAsia="方正书宋_GBK"/>
              </w:rPr>
              <w:t>+”</w:t>
            </w:r>
            <w:r>
              <w:rPr>
                <w:rFonts w:hint="eastAsia" w:ascii="方正书宋_GBK" w:eastAsia="方正书宋_GBK"/>
              </w:rPr>
              <w:t>和</w:t>
            </w:r>
            <w:r>
              <w:rPr>
                <w:rFonts w:hint="cs" w:ascii="方正书宋_GBK" w:eastAsia="方正书宋_GBK"/>
              </w:rPr>
              <w:t>“</w:t>
            </w:r>
            <w:r>
              <w:rPr>
                <w:rFonts w:ascii="方正书宋_GBK" w:eastAsia="方正书宋_GBK"/>
              </w:rPr>
              <w:t>+</w:t>
            </w:r>
            <w:r>
              <w:rPr>
                <w:rFonts w:hint="eastAsia" w:ascii="方正书宋_GBK" w:eastAsia="方正书宋_GBK"/>
              </w:rPr>
              <w:t>旅游</w:t>
            </w:r>
            <w:r>
              <w:rPr>
                <w:rFonts w:hint="cs" w:ascii="方正书宋_GBK" w:eastAsia="方正书宋_GBK"/>
              </w:rPr>
              <w:t>”</w:t>
            </w:r>
            <w:r>
              <w:rPr>
                <w:rFonts w:hint="eastAsia" w:ascii="方正书宋_GBK" w:eastAsia="方正书宋_GBK"/>
              </w:rPr>
              <w:t>产业质量，助推承德旅游转型升级，绿色发展。面提升承德旅游影响力。</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61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群众对当年的整体满意度</w:t>
            </w:r>
          </w:p>
        </w:tc>
        <w:tc>
          <w:tcPr>
            <w:tcW w:w="255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促进旅游业与其他产业融合发展，不断提升优化</w:t>
            </w:r>
            <w:r>
              <w:rPr>
                <w:rFonts w:hint="cs" w:ascii="方正书宋_GBK" w:eastAsia="方正书宋_GBK"/>
              </w:rPr>
              <w:t>“</w:t>
            </w:r>
            <w:r>
              <w:rPr>
                <w:rFonts w:hint="eastAsia" w:ascii="方正书宋_GBK" w:eastAsia="方正书宋_GBK"/>
              </w:rPr>
              <w:t>旅游</w:t>
            </w:r>
            <w:r>
              <w:rPr>
                <w:rFonts w:ascii="方正书宋_GBK" w:eastAsia="方正书宋_GBK"/>
              </w:rPr>
              <w:t>+”</w:t>
            </w:r>
            <w:r>
              <w:rPr>
                <w:rFonts w:hint="eastAsia" w:ascii="方正书宋_GBK" w:eastAsia="方正书宋_GBK"/>
              </w:rPr>
              <w:t>和</w:t>
            </w:r>
            <w:r>
              <w:rPr>
                <w:rFonts w:hint="cs" w:ascii="方正书宋_GBK" w:eastAsia="方正书宋_GBK"/>
              </w:rPr>
              <w:t>“</w:t>
            </w:r>
            <w:r>
              <w:rPr>
                <w:rFonts w:ascii="方正书宋_GBK" w:eastAsia="方正书宋_GBK"/>
              </w:rPr>
              <w:t>+</w:t>
            </w:r>
            <w:r>
              <w:rPr>
                <w:rFonts w:hint="eastAsia" w:ascii="方正书宋_GBK" w:eastAsia="方正书宋_GBK"/>
              </w:rPr>
              <w:t>旅游</w:t>
            </w:r>
            <w:r>
              <w:rPr>
                <w:rFonts w:hint="cs" w:ascii="方正书宋_GBK" w:eastAsia="方正书宋_GBK"/>
              </w:rPr>
              <w:t>”</w:t>
            </w:r>
            <w:r>
              <w:rPr>
                <w:rFonts w:hint="eastAsia" w:ascii="方正书宋_GBK" w:eastAsia="方正书宋_GBK"/>
              </w:rPr>
              <w:t>产业质量，助推承德旅游转型升级，绿色发展。面提升承德旅游影响力。</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根据工作实际需要</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5、劳务派遣人员经费（旅游咨询服务信息中心）绩效目标表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 w:name="_Toc35007194"/>
      <w:r>
        <w:rPr>
          <w:rFonts w:hint="eastAsia" w:ascii="方正仿宋_GBK" w:eastAsia="方正仿宋_GBK"/>
          <w:b/>
          <w:sz w:val="28"/>
        </w:rPr>
        <w:instrText xml:space="preserve">5、劳务派遣人员经费（旅游咨询服务信息中心）绩效目标表</w:instrText>
      </w:r>
      <w:bookmarkEnd w:id="8"/>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000-9999-JSN-48H4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劳务派遣人员经费（旅游咨询服务信息中心）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35.84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35.84</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政府购买劳务派遣服务费用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、配合各部门顺利完成各项工作任务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、提高工作效率，弥补人员不足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183"/>
        <w:gridCol w:w="1984"/>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18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聘用人员数量</w:t>
            </w:r>
          </w:p>
        </w:tc>
        <w:tc>
          <w:tcPr>
            <w:tcW w:w="21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聘用人员数量</w:t>
            </w:r>
          </w:p>
        </w:tc>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配合各部门顺利完成各项工作任务、提高工作效率，弥补人员不足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1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全年覆盖情况</w:t>
            </w:r>
          </w:p>
        </w:tc>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配合各部门顺利完成各项工作任务、提高工作效率，弥补人员不足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优良率</w:t>
            </w:r>
          </w:p>
        </w:tc>
        <w:tc>
          <w:tcPr>
            <w:tcW w:w="21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结项鉴定优秀等级项目数量占结项总数量的比例（百分比）</w:t>
            </w:r>
          </w:p>
        </w:tc>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配合各部门顺利完成各项工作任务、提高工作效率，弥补人员不足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1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按照要求和计划完成研究任务的项目在所有立项项目中的比例（百分比）</w:t>
            </w:r>
          </w:p>
        </w:tc>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配合各部门顺利完成各项工作任务、提高工作效率，弥补人员不足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长期购买率</w:t>
            </w:r>
          </w:p>
        </w:tc>
        <w:tc>
          <w:tcPr>
            <w:tcW w:w="21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能够长期较好地开展工作服务</w:t>
            </w:r>
          </w:p>
        </w:tc>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配合各部门顺利完成各项工作任务、提高工作效率，弥补人员不足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1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配合各部门顺利完成各项工作任务、提高工作效率，弥补人员不足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6、群艺馆非遗保护绩效目标表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9" w:name="_Toc35007195"/>
      <w:r>
        <w:rPr>
          <w:rFonts w:hint="eastAsia" w:ascii="方正仿宋_GBK" w:eastAsia="方正仿宋_GBK"/>
          <w:b/>
          <w:sz w:val="28"/>
        </w:rPr>
        <w:instrText xml:space="preserve">6、群艺馆非遗保护绩效目标表</w:instrText>
      </w:r>
      <w:bookmarkEnd w:id="9"/>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000-9999-JSN-024Z</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群艺馆非遗保护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深入了解各地代表性项目及传承人的保护与传承现状、非遗保护和项目资料存放与设备购置等情况。全面掌握与了解我市非遗分布与蕴藏情况，并深入了解各地代表性项目及传承人的保护与传承现状、非遗保护和项目资料存放与设备购置等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6.77</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13.54</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、全面完成掌握、了解我市非遗分布与蕴藏情况。</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、了解项目所在地的生存情况及传承人的生存现状进行实地走访。</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按照要求和计划完成研究任务的项目在所有立项项目中的比例（百分比）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完成全市普查工作</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根据实际工作决定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计划生育家庭特别扶助政策覆盖率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实施计划生育家庭特别扶助政策的县（市、区）数量占我省县（市、区）总数比例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完成全年实际普查工作</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依据相关文件及实际工作完成指标数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开展宣传方式的品种或数量（次或种）</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反映开展对外宣传形式的多样性</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以实际完成普查、宣传工作为准</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依据相关文件及实际工作完成指标数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对全省宣传文化事业发展的促进推动作用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通过支持重点宣传文化项目建设，带动全省宣传文化事业发展的效果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完成全市挖掘、保护工作</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根据实际工作决定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完成全市非遗工作调研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根据实际工作决定</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7、图书购置项目绩效目标表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0" w:name="_Toc35007196"/>
      <w:r>
        <w:rPr>
          <w:rFonts w:hint="eastAsia" w:ascii="方正仿宋_GBK" w:eastAsia="方正仿宋_GBK"/>
          <w:b/>
          <w:sz w:val="28"/>
        </w:rPr>
        <w:instrText xml:space="preserve">7、图书购置项目绩效目标表</w:instrText>
      </w:r>
      <w:bookmarkEnd w:id="10"/>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000-9999-JSN-46FT</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图书购置项目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购置图书，丰富图书馆藏书种类及数量。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、保障读者全年免费借阅需求。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、扩大图书馆影响规模和影响力。</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为读者提供全年免费图书阅览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保障新出图书能够及时采购上架供读者阅读，满足读者阅读需要。</w:t>
            </w:r>
          </w:p>
        </w:tc>
        <w:tc>
          <w:tcPr>
            <w:tcW w:w="1276" w:type="dxa"/>
            <w:shd w:val="clear" w:color="auto" w:fill="auto"/>
            <w:vAlign w:val="center"/>
          </w:tcPr>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2017</w:t>
            </w:r>
            <w:r>
              <w:rPr>
                <w:rFonts w:hint="eastAsia" w:ascii="方正书宋_GBK" w:eastAsia="方正书宋_GBK"/>
              </w:rPr>
              <w:t>年全国公共图书馆第六次评估定级关于二级图书馆的评估标准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新增图书数量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通过新增图书数量衡量图书馆公共服务能力</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10000</w:t>
            </w:r>
            <w:r>
              <w:rPr>
                <w:rFonts w:hint="eastAsia" w:ascii="方正书宋_GBK" w:eastAsia="方正书宋_GBK"/>
              </w:rPr>
              <w:t>册</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图书购置经费使用情况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图书单价</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将图书成本及报刊成本控制在合理范围内</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根据供应商、邮政局提供价格为准</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增加馆藏，为读者提供免费借阅服务。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采购图书，增加馆藏，为读者服务。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10000</w:t>
            </w:r>
            <w:r>
              <w:rPr>
                <w:rFonts w:hint="eastAsia" w:ascii="方正书宋_GBK" w:eastAsia="方正书宋_GBK"/>
              </w:rPr>
              <w:t>册</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能够长期较好地开展展演、展映、展播、展示，长期满足人民群众对精神文化的需求。</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对图书馆提供服务的读者的满意程度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8、图书馆免费开放配套资金绩效目标表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1" w:name="_Toc35007197"/>
      <w:r>
        <w:rPr>
          <w:rFonts w:hint="eastAsia" w:ascii="方正仿宋_GBK" w:eastAsia="方正仿宋_GBK"/>
          <w:b/>
          <w:sz w:val="28"/>
        </w:rPr>
        <w:instrText xml:space="preserve">8、图书馆免费开放配套资金绩效目标表</w:instrText>
      </w:r>
      <w:bookmarkEnd w:id="11"/>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000-9999-JSN-JNX4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图书馆免费开放配套资金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图书馆免费开放保障广大读者的基本文化权益</w:t>
            </w:r>
            <w:r>
              <w:rPr>
                <w:rFonts w:ascii="方正书宋_GBK" w:eastAsia="方正书宋_GBK"/>
              </w:rPr>
              <w:t>,</w:t>
            </w:r>
            <w:r>
              <w:rPr>
                <w:rFonts w:hint="eastAsia" w:ascii="方正书宋_GBK" w:eastAsia="方正书宋_GBK"/>
              </w:rPr>
              <w:t>营造全民阅读的氛围</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40.00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、保障广大读者的基本文化权益</w:t>
            </w:r>
            <w:r>
              <w:rPr>
                <w:rFonts w:ascii="方正书宋_GBK" w:eastAsia="方正书宋_GBK"/>
              </w:rPr>
              <w:t>,</w:t>
            </w:r>
            <w:r>
              <w:rPr>
                <w:rFonts w:hint="eastAsia" w:ascii="方正书宋_GBK" w:eastAsia="方正书宋_GBK"/>
              </w:rPr>
              <w:t>营造全民阅读的氛围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、向公众免费开放，收集、整理、保存文献信息冰提供查询、借阅及相关服务</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保障图书馆数字资源的免费开放</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为读者提供免费借阅和网上阅览</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免费开放所需公共设施设备的完善</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完善现有设备</w:t>
            </w:r>
            <w:r>
              <w:rPr>
                <w:rFonts w:ascii="方正书宋_GBK" w:eastAsia="方正书宋_GBK"/>
              </w:rPr>
              <w:t>,</w:t>
            </w:r>
            <w:r>
              <w:rPr>
                <w:rFonts w:hint="eastAsia" w:ascii="方正书宋_GBK" w:eastAsia="方正书宋_GBK"/>
              </w:rPr>
              <w:t>及时维修</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控制支出成本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控制支出成本</w:t>
            </w:r>
            <w:r>
              <w:rPr>
                <w:rFonts w:ascii="方正书宋_GBK" w:eastAsia="方正书宋_GBK"/>
              </w:rPr>
              <w:t>,</w:t>
            </w:r>
            <w:r>
              <w:rPr>
                <w:rFonts w:hint="eastAsia" w:ascii="方正书宋_GBK" w:eastAsia="方正书宋_GBK"/>
              </w:rPr>
              <w:t>最大效益为读者服务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保障各窗口日常开放服务及馆员素质培训</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组织馆员培训</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在全市产生的重要影响，得到广大受众的充分认可。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能够长期满足人民群众对精神文化的需求。</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群众对图书馆免费开放情况的整体满意度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9、图书馆专项网络通讯维护费绩效目标表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2" w:name="_Toc35007198"/>
      <w:r>
        <w:rPr>
          <w:rFonts w:hint="eastAsia" w:ascii="方正仿宋_GBK" w:eastAsia="方正仿宋_GBK"/>
          <w:b/>
          <w:sz w:val="28"/>
        </w:rPr>
        <w:instrText xml:space="preserve">9、图书馆专项网络通讯维护费绩效目标表</w:instrText>
      </w:r>
      <w:bookmarkEnd w:id="12"/>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000-9999-JSN-84L4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图书馆专项网络通讯维护费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用于支付网络及监控维修维护费用，电子阅览室上网费用。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、保障网络使用流畅度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、为读者更好的提供网上阅读阅览服务</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系统故障率</w:t>
            </w:r>
            <w:r>
              <w:rPr>
                <w:rFonts w:ascii="方正书宋_GBK" w:eastAsia="方正书宋_GBK"/>
              </w:rPr>
              <w:t>(</w:t>
            </w:r>
            <w:r>
              <w:rPr>
                <w:rFonts w:hint="eastAsia" w:ascii="方正书宋_GBK" w:eastAsia="方正书宋_GBK"/>
              </w:rPr>
              <w:t>％</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系统出故障时间占总运行时间的比率（反向指标）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平均日维护数</w:t>
            </w:r>
            <w:r>
              <w:rPr>
                <w:rFonts w:ascii="方正书宋_GBK" w:eastAsia="方正书宋_GBK"/>
              </w:rPr>
              <w:t>(</w:t>
            </w:r>
            <w:r>
              <w:rPr>
                <w:rFonts w:hint="eastAsia" w:ascii="方正书宋_GBK" w:eastAsia="方正书宋_GBK"/>
              </w:rPr>
              <w:t>次／日</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维护次数与系统工作日的比值</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维修费用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将每次维修费用控制在合理范围内</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根据网络提供公司费用价格而定</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业务处理及时性</w:t>
            </w:r>
            <w:r>
              <w:rPr>
                <w:rFonts w:ascii="方正书宋_GBK" w:eastAsia="方正书宋_GBK"/>
              </w:rPr>
              <w:t>(</w:t>
            </w:r>
            <w:r>
              <w:rPr>
                <w:rFonts w:hint="eastAsia" w:ascii="方正书宋_GBK" w:eastAsia="方正书宋_GBK"/>
              </w:rPr>
              <w:t>％</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及时处理业务数占总处理数的比率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保障网络畅通</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为读者提供网上阅读服务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能够长期较好地开展展演、展映、展播、展示，长期满足人民群众对精神文化的需求。</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读者对网上阅览服务的满意程度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10、央视《朝闻天下》广告宣传绩效目标表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3" w:name="_Toc35007199"/>
      <w:r>
        <w:rPr>
          <w:rFonts w:hint="eastAsia" w:ascii="方正仿宋_GBK" w:eastAsia="方正仿宋_GBK"/>
          <w:b/>
          <w:sz w:val="28"/>
        </w:rPr>
        <w:instrText xml:space="preserve">10、央视《朝闻天下》广告宣传绩效目标表</w:instrText>
      </w:r>
      <w:bookmarkEnd w:id="13"/>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000-9999-JSN-288T</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央视《朝闻天下》广告宣传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400.00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央视《朝闻天下》广告宣传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、宣传承德，提高影响力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、促进承德旅游消费水平提高</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609"/>
        <w:gridCol w:w="1558"/>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60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55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60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按照要求和计划完成研究任务的项目在所有立项项目中的比例（百分比）</w:t>
            </w:r>
          </w:p>
        </w:tc>
        <w:tc>
          <w:tcPr>
            <w:tcW w:w="15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央视《朝闻天下》广告宣传</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60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宣传覆盖百分比</w:t>
            </w:r>
          </w:p>
        </w:tc>
        <w:tc>
          <w:tcPr>
            <w:tcW w:w="15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央视《朝闻天下》广告宣传</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满意率</w:t>
            </w:r>
          </w:p>
        </w:tc>
        <w:tc>
          <w:tcPr>
            <w:tcW w:w="260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观众对宣传活动满意率</w:t>
            </w:r>
          </w:p>
        </w:tc>
        <w:tc>
          <w:tcPr>
            <w:tcW w:w="15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央视《朝闻天下》广告宣传</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成功率</w:t>
            </w:r>
          </w:p>
        </w:tc>
        <w:tc>
          <w:tcPr>
            <w:tcW w:w="260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宣传产生的成功率</w:t>
            </w:r>
          </w:p>
        </w:tc>
        <w:tc>
          <w:tcPr>
            <w:tcW w:w="15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央视《朝闻天下》广告宣传</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60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5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央视《朝闻天下》广告宣传</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60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5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央视《朝闻天下》广告宣传</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11、艺术研究所房屋整体装修绩效目标表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4" w:name="_Toc35007200"/>
      <w:r>
        <w:rPr>
          <w:rFonts w:hint="eastAsia" w:ascii="方正仿宋_GBK" w:eastAsia="方正仿宋_GBK"/>
          <w:b/>
          <w:sz w:val="28"/>
        </w:rPr>
        <w:instrText xml:space="preserve">11、艺术研究所房屋整体装修绩效目标表</w:instrText>
      </w:r>
      <w:bookmarkEnd w:id="14"/>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000-9999-JSN-BLL4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艺术研究所房屋整体装修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8.00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房屋修缮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、杜绝不必要的安全隐患</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、改善办公环境，提高办公质量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467"/>
        <w:gridCol w:w="1700"/>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46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70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修缮资金</w:t>
            </w:r>
          </w:p>
        </w:tc>
        <w:tc>
          <w:tcPr>
            <w:tcW w:w="246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严格控制项目资金</w:t>
            </w:r>
          </w:p>
        </w:tc>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确保资金在修缮工程中的使用</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根据具体工作需要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46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按照要求和计划完成研究任务的项目在所有立项项目中的比例（百分比）</w:t>
            </w:r>
          </w:p>
        </w:tc>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工程完成验收后，按照合同完成预计效果</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根据具体工作需要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46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单位装修覆盖情况</w:t>
            </w:r>
          </w:p>
        </w:tc>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单位装修覆盖情况</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根据具体工作需要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优良率</w:t>
            </w:r>
          </w:p>
        </w:tc>
        <w:tc>
          <w:tcPr>
            <w:tcW w:w="246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工程质量在项目预期完成效果的比例（百分比）</w:t>
            </w:r>
          </w:p>
        </w:tc>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工程完成验收后，工程质量达到项目完成预计效果</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根据具体工作需要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46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能够长期较好地满足人民群众对的需求。（年）</w:t>
            </w:r>
          </w:p>
        </w:tc>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在</w:t>
            </w:r>
            <w:r>
              <w:rPr>
                <w:rFonts w:ascii="方正书宋_GBK" w:eastAsia="方正书宋_GBK"/>
              </w:rPr>
              <w:t>5</w:t>
            </w:r>
            <w:r>
              <w:rPr>
                <w:rFonts w:hint="eastAsia" w:ascii="方正书宋_GBK" w:eastAsia="方正书宋_GBK"/>
              </w:rPr>
              <w:t>年内，确保项目工程能持续影响单位人员的使用需求</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根据具体工作需要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确保资助项目政治导向正确</w:t>
            </w:r>
          </w:p>
        </w:tc>
        <w:tc>
          <w:tcPr>
            <w:tcW w:w="246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资助项目不出现上级通报的意识形态重大问题（个）</w:t>
            </w:r>
          </w:p>
        </w:tc>
        <w:tc>
          <w:tcPr>
            <w:tcW w:w="1700" w:type="dxa"/>
            <w:shd w:val="clear" w:color="auto" w:fill="auto"/>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无意识形态问题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根据具体工作需要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46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被服务对象的满意度</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根据具体工作需要</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12、与北京联合开展“周末游河北”绩效目标表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5" w:name="_Toc35007201"/>
      <w:r>
        <w:rPr>
          <w:rFonts w:hint="eastAsia" w:ascii="方正仿宋_GBK" w:eastAsia="方正仿宋_GBK"/>
          <w:b/>
          <w:sz w:val="28"/>
        </w:rPr>
        <w:instrText xml:space="preserve">12、与北京联合开展\“周末游河北\”绩效目标表</w:instrText>
      </w:r>
      <w:bookmarkEnd w:id="15"/>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000-9999-JSN-2D6R</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与北京联合开展</w:t>
            </w:r>
            <w:r>
              <w:rPr>
                <w:rFonts w:hint="cs" w:ascii="方正书宋_GBK" w:eastAsia="方正书宋_GBK"/>
              </w:rPr>
              <w:t>“</w:t>
            </w:r>
            <w:r>
              <w:rPr>
                <w:rFonts w:hint="eastAsia" w:ascii="方正书宋_GBK" w:eastAsia="方正书宋_GBK"/>
              </w:rPr>
              <w:t>周末游河北</w:t>
            </w:r>
            <w:r>
              <w:rPr>
                <w:rFonts w:hint="c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40.00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与北京联合开展</w:t>
            </w:r>
            <w:r>
              <w:rPr>
                <w:rFonts w:hint="cs" w:ascii="方正书宋_GBK" w:eastAsia="方正书宋_GBK"/>
              </w:rPr>
              <w:t>“</w:t>
            </w:r>
            <w:r>
              <w:rPr>
                <w:rFonts w:hint="eastAsia" w:ascii="方正书宋_GBK" w:eastAsia="方正书宋_GBK"/>
              </w:rPr>
              <w:t>周末游河北</w:t>
            </w:r>
            <w:r>
              <w:rPr>
                <w:rFonts w:hint="c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、提高宣传承德力度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、促进旅游收入提高</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609"/>
        <w:gridCol w:w="1558"/>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60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55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微博、微信粉丝数增长量</w:t>
            </w:r>
          </w:p>
        </w:tc>
        <w:tc>
          <w:tcPr>
            <w:tcW w:w="260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微博、微信粉丝数增长数量</w:t>
            </w:r>
          </w:p>
        </w:tc>
        <w:tc>
          <w:tcPr>
            <w:tcW w:w="15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提高宣传承德力度、促进旅游收入提高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组织媒体采访次数</w:t>
            </w:r>
          </w:p>
        </w:tc>
        <w:tc>
          <w:tcPr>
            <w:tcW w:w="260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组织媒体进行旅游相关采访次数</w:t>
            </w:r>
          </w:p>
        </w:tc>
        <w:tc>
          <w:tcPr>
            <w:tcW w:w="15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提高宣传承德力度、促进旅游收入提高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在平面媒体进行投放广告的数量</w:t>
            </w:r>
          </w:p>
        </w:tc>
        <w:tc>
          <w:tcPr>
            <w:tcW w:w="260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在平面媒体进行投放广告的数量</w:t>
            </w:r>
          </w:p>
        </w:tc>
        <w:tc>
          <w:tcPr>
            <w:tcW w:w="15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提高宣传承德力度、促进旅游收入提高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设立户外广告牌数量</w:t>
            </w:r>
          </w:p>
        </w:tc>
        <w:tc>
          <w:tcPr>
            <w:tcW w:w="260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在户外设立广告牌数量</w:t>
            </w:r>
          </w:p>
        </w:tc>
        <w:tc>
          <w:tcPr>
            <w:tcW w:w="15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提高宣传承德力度、促进旅游收入提高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60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5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提高宣传承德力度、促进旅游收入提高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60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5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提高宣传承德力度、促进旅游收入提高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13、智慧旅游大数据平台绩效目标表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6" w:name="_Toc35007202"/>
      <w:r>
        <w:rPr>
          <w:rFonts w:hint="eastAsia" w:ascii="方正仿宋_GBK" w:eastAsia="方正仿宋_GBK"/>
          <w:b/>
          <w:sz w:val="28"/>
        </w:rPr>
        <w:instrText xml:space="preserve">13、智慧旅游大数据平台绩效目标表</w:instrText>
      </w:r>
      <w:bookmarkEnd w:id="16"/>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000-9999-JSN-6RTB</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智慧旅游大数据平台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316.20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316.20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承德市智慧旅游大数据平台项目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、促进承德市旅游接待人数增长</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、促进承德市旅游收入增长</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183"/>
        <w:gridCol w:w="1984"/>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18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1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按计划按时完成大数据</w:t>
            </w:r>
          </w:p>
        </w:tc>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促进承德市旅游接待人数增长、促进承德市旅游收入增长</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数字化设备完成数量</w:t>
            </w:r>
          </w:p>
        </w:tc>
        <w:tc>
          <w:tcPr>
            <w:tcW w:w="21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数字化设备完成数量</w:t>
            </w:r>
          </w:p>
        </w:tc>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促进承德市旅游接待人数增长、促进承德市旅游收入增长</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综合覆盖率</w:t>
            </w:r>
          </w:p>
        </w:tc>
        <w:tc>
          <w:tcPr>
            <w:tcW w:w="21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综合覆盖率</w:t>
            </w:r>
          </w:p>
        </w:tc>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促进承德市旅游接待人数增长、促进承德市旅游收入增长</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及时维护率</w:t>
            </w:r>
          </w:p>
        </w:tc>
        <w:tc>
          <w:tcPr>
            <w:tcW w:w="21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对平台及时维护</w:t>
            </w:r>
          </w:p>
        </w:tc>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促进承德市旅游接待人数增长、促进承德市旅游收入增长</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1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促进承德市旅游接待人数增长、促进承德市旅游收入增长</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1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促进承德市旅游接待人数增长、促进承德市旅游收入增长</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r>
        <w:rPr>
          <w:rFonts w:hint="eastAsia" w:asciiTheme="minorEastAsia" w:hAnsiTheme="minorEastAsia" w:eastAsiaTheme="minorEastAsia"/>
          <w:b/>
          <w:sz w:val="32"/>
          <w:szCs w:val="32"/>
        </w:rPr>
        <w:t>第三部分  预算项目绩效目标</w:t>
      </w:r>
    </w:p>
    <w:p>
      <w:pPr>
        <w:ind w:firstLine="560" w:firstLineChars="200"/>
        <w:jc w:val="left"/>
        <w:outlineLvl w:val="1"/>
        <w:rPr>
          <w:rFonts w:ascii="Times New Roman" w:hAnsi="宋体"/>
          <w:b/>
          <w:sz w:val="28"/>
        </w:rPr>
      </w:pPr>
      <w:r>
        <w:rPr>
          <w:rFonts w:hint="eastAsia" w:ascii="方正仿宋_GBK" w:eastAsia="方正仿宋_GBK"/>
          <w:b/>
          <w:sz w:val="28"/>
        </w:rPr>
        <w:t>1、导游培训绩效目标表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7" w:name="_Toc35007203"/>
      <w:r>
        <w:rPr>
          <w:rFonts w:hint="eastAsia" w:ascii="方正仿宋_GBK" w:eastAsia="方正仿宋_GBK"/>
          <w:b/>
          <w:sz w:val="28"/>
        </w:rPr>
        <w:instrText xml:space="preserve">1、导游培训绩效目标表</w:instrText>
      </w:r>
      <w:bookmarkEnd w:id="1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431002</w:t>
            </w:r>
            <w:r>
              <w:rPr>
                <w:rFonts w:hint="eastAsia" w:ascii="方正书宋_GBK" w:eastAsia="方正书宋_GBK"/>
                <w:b/>
              </w:rPr>
              <w:t>承德市旅游和文化广电局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431-1101-JBN-6AKN</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导游培训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3.75</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3.75</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导游培训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、增强导游员职业道德水平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、提升导游员综合素质和业务水平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183"/>
        <w:gridCol w:w="2268"/>
        <w:gridCol w:w="14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18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4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优良率</w:t>
            </w:r>
          </w:p>
        </w:tc>
        <w:tc>
          <w:tcPr>
            <w:tcW w:w="21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优秀导游数量占总数量的比例（百分比）</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增强导游员职业道德水平、提升导游员综合素质和业务水平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1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按照要求和计划完成培训项目在所立项项目中的比例（百分比）</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增强导游员职业道德水平、提升导游员综合素质和业务水平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培训次数</w:t>
            </w:r>
          </w:p>
        </w:tc>
        <w:tc>
          <w:tcPr>
            <w:tcW w:w="21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举办培训导游提高业务水平</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增强导游员职业道德水平、提升导游员综合素质和业务水平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培训期限</w:t>
            </w:r>
          </w:p>
        </w:tc>
        <w:tc>
          <w:tcPr>
            <w:tcW w:w="21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全年不定期培训</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增强导游员职业道德水平、提升导游员综合素质和业务水平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1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增强导游员职业道德水平、提升导游员综合素质和业务水平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达到绿色产业标准</w:t>
            </w:r>
          </w:p>
        </w:tc>
        <w:tc>
          <w:tcPr>
            <w:tcW w:w="21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不进行基础设施建设，不对生态环境产生坏的影响，属于绿色生态产业。</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增强导游员职业道德水平、提升导游员综合素质和业务水平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1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增强导游员职业道德水平、提升导游员综合素质和业务水平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网络评估满意率</w:t>
            </w:r>
          </w:p>
        </w:tc>
        <w:tc>
          <w:tcPr>
            <w:tcW w:w="21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培训学员通过网络评估系统对培训班满意率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增强导游员职业道德水平、提升导游员综合素质和业务水平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根据工作需要</w:t>
            </w:r>
          </w:p>
        </w:tc>
      </w:tr>
    </w:tbl>
    <w:p>
      <w:pPr>
        <w:spacing w:line="500" w:lineRule="exact"/>
        <w:ind w:firstLine="560"/>
        <w:rPr>
          <w:rFonts w:ascii="方正仿宋_GBK" w:eastAsia="方正仿宋_GBK"/>
          <w:sz w:val="28"/>
        </w:rPr>
      </w:pPr>
    </w:p>
    <w:p>
      <w:pPr>
        <w:spacing w:line="500" w:lineRule="exact"/>
        <w:ind w:firstLine="560"/>
        <w:rPr>
          <w:rFonts w:ascii="方正仿宋_GBK" w:eastAsia="方正仿宋_GBK"/>
          <w:sz w:val="28"/>
        </w:rPr>
      </w:pPr>
    </w:p>
    <w:p>
      <w:pPr>
        <w:jc w:val="left"/>
        <w:sectPr>
          <w:footerReference r:id="rId3" w:type="default"/>
          <w:pgSz w:w="11907" w:h="16839"/>
          <w:pgMar w:top="1474" w:right="1418" w:bottom="1474" w:left="1418" w:header="851" w:footer="992" w:gutter="0"/>
          <w:pgNumType w:start="1"/>
          <w:cols w:space="425" w:num="1"/>
          <w:docGrid w:type="lines" w:linePitch="312" w:charSpace="0"/>
        </w:sectPr>
      </w:pPr>
    </w:p>
    <w:p>
      <w:pPr>
        <w:jc w:val="center"/>
        <w:outlineLvl w:val="0"/>
        <w:rPr>
          <w:rFonts w:ascii="方正小标宋_GBK" w:eastAsia="方正小标宋_GBK"/>
          <w:sz w:val="32"/>
        </w:rPr>
      </w:pPr>
      <w:bookmarkStart w:id="18" w:name="_Toc863759"/>
      <w:r>
        <w:rPr>
          <w:rFonts w:hint="eastAsia" w:ascii="方正小标宋_GBK" w:eastAsia="方正小标宋_GBK"/>
          <w:sz w:val="32"/>
        </w:rPr>
        <w:t>部门职责-工作活动绩效目标</w:t>
      </w:r>
    </w:p>
    <w:bookmarkEnd w:id="0"/>
    <w:bookmarkEnd w:id="18"/>
    <w:tbl>
      <w:tblPr>
        <w:tblStyle w:val="9"/>
        <w:tblW w:w="14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2410"/>
        <w:gridCol w:w="2618"/>
        <w:gridCol w:w="2626"/>
        <w:gridCol w:w="1280"/>
        <w:gridCol w:w="1280"/>
        <w:gridCol w:w="1280"/>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shd w:val="clear" w:color="000000" w:fill="E4ECF7"/>
            <w:vAlign w:val="center"/>
          </w:tcPr>
          <w:p>
            <w:pPr>
              <w:widowControl/>
              <w:jc w:val="center"/>
              <w:rPr>
                <w:rFonts w:ascii="宋体" w:hAnsi="宋体" w:cs="宋体"/>
                <w:b/>
                <w:kern w:val="0"/>
                <w:sz w:val="18"/>
                <w:szCs w:val="18"/>
              </w:rPr>
            </w:pPr>
            <w:r>
              <w:rPr>
                <w:rFonts w:hint="eastAsia" w:ascii="宋体" w:hAnsi="宋体" w:cs="宋体"/>
                <w:b/>
                <w:kern w:val="0"/>
                <w:sz w:val="18"/>
                <w:szCs w:val="18"/>
              </w:rPr>
              <w:t>职责名称</w:t>
            </w:r>
          </w:p>
        </w:tc>
        <w:tc>
          <w:tcPr>
            <w:tcW w:w="2410" w:type="dxa"/>
            <w:shd w:val="clear" w:color="000000" w:fill="E4ECF7"/>
            <w:vAlign w:val="center"/>
          </w:tcPr>
          <w:p>
            <w:pPr>
              <w:widowControl/>
              <w:jc w:val="center"/>
              <w:rPr>
                <w:rFonts w:ascii="宋体" w:hAnsi="宋体" w:cs="宋体"/>
                <w:b/>
                <w:kern w:val="0"/>
                <w:sz w:val="18"/>
                <w:szCs w:val="18"/>
              </w:rPr>
            </w:pPr>
            <w:r>
              <w:rPr>
                <w:rFonts w:hint="eastAsia" w:ascii="宋体" w:hAnsi="宋体" w:cs="宋体"/>
                <w:b/>
                <w:kern w:val="0"/>
                <w:sz w:val="18"/>
                <w:szCs w:val="18"/>
              </w:rPr>
              <w:t>职责描述</w:t>
            </w:r>
          </w:p>
        </w:tc>
        <w:tc>
          <w:tcPr>
            <w:tcW w:w="2618" w:type="dxa"/>
            <w:shd w:val="clear" w:color="000000" w:fill="E4ECF7"/>
            <w:vAlign w:val="center"/>
          </w:tcPr>
          <w:p>
            <w:pPr>
              <w:widowControl/>
              <w:jc w:val="center"/>
              <w:rPr>
                <w:rFonts w:ascii="宋体" w:hAnsi="宋体" w:cs="宋体"/>
                <w:b/>
                <w:kern w:val="0"/>
                <w:sz w:val="18"/>
                <w:szCs w:val="18"/>
              </w:rPr>
            </w:pPr>
            <w:r>
              <w:rPr>
                <w:rFonts w:hint="eastAsia" w:ascii="宋体" w:hAnsi="宋体" w:cs="宋体"/>
                <w:b/>
                <w:kern w:val="0"/>
                <w:sz w:val="18"/>
                <w:szCs w:val="18"/>
              </w:rPr>
              <w:t>职责目标</w:t>
            </w:r>
          </w:p>
        </w:tc>
        <w:tc>
          <w:tcPr>
            <w:tcW w:w="2626" w:type="dxa"/>
            <w:shd w:val="clear" w:color="000000" w:fill="E4ECF7"/>
            <w:vAlign w:val="center"/>
          </w:tcPr>
          <w:p>
            <w:pPr>
              <w:widowControl/>
              <w:jc w:val="center"/>
              <w:rPr>
                <w:rFonts w:ascii="宋体" w:hAnsi="宋体" w:cs="宋体"/>
                <w:b/>
                <w:kern w:val="0"/>
                <w:sz w:val="18"/>
                <w:szCs w:val="18"/>
              </w:rPr>
            </w:pPr>
            <w:r>
              <w:rPr>
                <w:rFonts w:hint="eastAsia" w:ascii="宋体" w:hAnsi="宋体" w:cs="宋体"/>
                <w:b/>
                <w:kern w:val="0"/>
                <w:sz w:val="18"/>
                <w:szCs w:val="18"/>
              </w:rPr>
              <w:t>绩效指标</w:t>
            </w:r>
          </w:p>
        </w:tc>
        <w:tc>
          <w:tcPr>
            <w:tcW w:w="5120" w:type="dxa"/>
            <w:gridSpan w:val="4"/>
            <w:shd w:val="clear" w:color="000000" w:fill="E4ECF7"/>
            <w:vAlign w:val="center"/>
          </w:tcPr>
          <w:p>
            <w:pPr>
              <w:widowControl/>
              <w:jc w:val="center"/>
              <w:rPr>
                <w:rFonts w:ascii="宋体" w:hAnsi="宋体" w:cs="宋体"/>
                <w:b/>
                <w:kern w:val="0"/>
                <w:sz w:val="18"/>
                <w:szCs w:val="18"/>
              </w:rPr>
            </w:pPr>
            <w:r>
              <w:rPr>
                <w:rFonts w:hint="eastAsia" w:ascii="宋体" w:hAnsi="宋体" w:cs="宋体"/>
                <w:b/>
                <w:kern w:val="0"/>
                <w:sz w:val="18"/>
                <w:szCs w:val="18"/>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shd w:val="clear" w:color="000000" w:fill="E4ECF7"/>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410" w:type="dxa"/>
            <w:shd w:val="clear" w:color="000000" w:fill="E4ECF7"/>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618" w:type="dxa"/>
            <w:shd w:val="clear" w:color="000000" w:fill="E4ECF7"/>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626" w:type="dxa"/>
            <w:shd w:val="clear" w:color="000000" w:fill="E4ECF7"/>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280" w:type="dxa"/>
            <w:shd w:val="clear" w:color="000000" w:fill="E4ECF7"/>
            <w:vAlign w:val="center"/>
          </w:tcPr>
          <w:p>
            <w:pPr>
              <w:widowControl/>
              <w:jc w:val="center"/>
              <w:rPr>
                <w:rFonts w:ascii="宋体" w:hAnsi="宋体" w:cs="宋体"/>
                <w:kern w:val="0"/>
                <w:sz w:val="18"/>
                <w:szCs w:val="18"/>
              </w:rPr>
            </w:pPr>
            <w:r>
              <w:rPr>
                <w:rFonts w:hint="eastAsia" w:ascii="宋体" w:hAnsi="宋体" w:cs="宋体"/>
                <w:kern w:val="0"/>
                <w:sz w:val="18"/>
                <w:szCs w:val="18"/>
              </w:rPr>
              <w:t>优</w:t>
            </w:r>
          </w:p>
        </w:tc>
        <w:tc>
          <w:tcPr>
            <w:tcW w:w="1280" w:type="dxa"/>
            <w:shd w:val="clear" w:color="000000" w:fill="E4ECF7"/>
            <w:vAlign w:val="center"/>
          </w:tcPr>
          <w:p>
            <w:pPr>
              <w:widowControl/>
              <w:jc w:val="center"/>
              <w:rPr>
                <w:rFonts w:ascii="宋体" w:hAnsi="宋体" w:cs="宋体"/>
                <w:kern w:val="0"/>
                <w:sz w:val="18"/>
                <w:szCs w:val="18"/>
              </w:rPr>
            </w:pPr>
            <w:r>
              <w:rPr>
                <w:rFonts w:hint="eastAsia" w:ascii="宋体" w:hAnsi="宋体" w:cs="宋体"/>
                <w:kern w:val="0"/>
                <w:sz w:val="18"/>
                <w:szCs w:val="18"/>
              </w:rPr>
              <w:t>良</w:t>
            </w:r>
          </w:p>
        </w:tc>
        <w:tc>
          <w:tcPr>
            <w:tcW w:w="1280" w:type="dxa"/>
            <w:shd w:val="clear" w:color="000000" w:fill="E4ECF7"/>
            <w:vAlign w:val="center"/>
          </w:tcPr>
          <w:p>
            <w:pPr>
              <w:widowControl/>
              <w:jc w:val="center"/>
              <w:rPr>
                <w:rFonts w:ascii="宋体" w:hAnsi="宋体" w:cs="宋体"/>
                <w:kern w:val="0"/>
                <w:sz w:val="18"/>
                <w:szCs w:val="18"/>
              </w:rPr>
            </w:pPr>
            <w:r>
              <w:rPr>
                <w:rFonts w:hint="eastAsia" w:ascii="宋体" w:hAnsi="宋体" w:cs="宋体"/>
                <w:kern w:val="0"/>
                <w:sz w:val="18"/>
                <w:szCs w:val="18"/>
              </w:rPr>
              <w:t>中</w:t>
            </w:r>
          </w:p>
        </w:tc>
        <w:tc>
          <w:tcPr>
            <w:tcW w:w="1280" w:type="dxa"/>
            <w:shd w:val="clear" w:color="000000" w:fill="E4ECF7"/>
            <w:vAlign w:val="center"/>
          </w:tcPr>
          <w:p>
            <w:pPr>
              <w:widowControl/>
              <w:jc w:val="center"/>
              <w:rPr>
                <w:rFonts w:ascii="宋体" w:hAnsi="宋体" w:cs="宋体"/>
                <w:kern w:val="0"/>
                <w:sz w:val="18"/>
                <w:szCs w:val="18"/>
              </w:rPr>
            </w:pPr>
            <w:r>
              <w:rPr>
                <w:rFonts w:hint="eastAsia" w:ascii="宋体" w:hAnsi="宋体" w:cs="宋体"/>
                <w:kern w:val="0"/>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文化艺术管理</w:t>
            </w:r>
          </w:p>
        </w:tc>
        <w:tc>
          <w:tcPr>
            <w:tcW w:w="2410" w:type="dxa"/>
            <w:vMerge w:val="restart"/>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管理和指导全市文化建设，推进文化发展环境能力建设，提供公共文化服务、文化艺术资源建设和文化艺术生产。</w:t>
            </w:r>
          </w:p>
        </w:tc>
        <w:tc>
          <w:tcPr>
            <w:tcW w:w="2618"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文化发展环境健康向上，文化发展能力不断增强，文化艺术资源丰富，公共文化服务和文化艺术生产水平不断提高，文化影响力日益扩大。</w:t>
            </w: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送公益流动文化服务进基层完成率</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公共数字文化服务-微平台覆盖率</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≥40%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公共文化场馆免费率</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≥70%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文化设施达标率</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公共文化服务活动数量（场/乡）</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≥12</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收藏及保管物品完好率</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收集品入藏数量</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≥70%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仓储设施设备及环境完好率</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≥70%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获省级及以上奖励的作品数量</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≥4</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新舞台艺术作品演出数量</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≥4</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舞台艺术作品创作数量</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≥4</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创作美术作品并展示数量（件）</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年演出场次</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≥60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≥50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≥40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文化宣传交流</w:t>
            </w:r>
          </w:p>
        </w:tc>
        <w:tc>
          <w:tcPr>
            <w:tcW w:w="2410"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指导、组织本市秀文化产品、服务和品牌活动宣传推介；组织全市对外文化交流活动。</w:t>
            </w:r>
          </w:p>
        </w:tc>
        <w:tc>
          <w:tcPr>
            <w:tcW w:w="2618"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对外文化交流档次和水平提升，对外文化贸易不断发展，我市文化国内国际影响力扩大。</w:t>
            </w: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文化交流次数</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≥4</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推介成功率和获奖率</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≥75%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≥70%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≥60%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组织推介申报项目数量</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文化保护</w:t>
            </w:r>
          </w:p>
        </w:tc>
        <w:tc>
          <w:tcPr>
            <w:tcW w:w="2410"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指导、组织开展文化保护工作;组织实施优秀民族文化的传承普及工作；维护国家文化安全。</w:t>
            </w:r>
          </w:p>
        </w:tc>
        <w:tc>
          <w:tcPr>
            <w:tcW w:w="2618"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构建健全的文化保护体系，文化保护工作得到全面加强，优秀文化得到传承和发扬。</w:t>
            </w: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濒危和重点项目有效保护覆盖率</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≥70%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展示和传承优秀项目占比数</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≥70%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文化政务管理</w:t>
            </w:r>
          </w:p>
        </w:tc>
        <w:tc>
          <w:tcPr>
            <w:tcW w:w="2410"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负责系统综合业务管理和机关综合事务管理。</w:t>
            </w:r>
          </w:p>
        </w:tc>
        <w:tc>
          <w:tcPr>
            <w:tcW w:w="2618"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确保各项业务工作谋划到位、顺利开展。保障机关工作正常高效运转。</w:t>
            </w: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综合业务管理工作完成率</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综合事务管理工作完成率</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广播影视事业建设</w:t>
            </w:r>
          </w:p>
        </w:tc>
        <w:tc>
          <w:tcPr>
            <w:tcW w:w="2410"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做好各类广播电视、网络视听和公共视听载体节目制作、宣传、采访报道、传输发射实验以及影视剧、专题片等创作生产。建立广播电视安全播出保障体系，加强台站、安全播出管理。组织实施重大公益工程和公益活动。</w:t>
            </w:r>
          </w:p>
        </w:tc>
        <w:tc>
          <w:tcPr>
            <w:tcW w:w="2618"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宣传党的路线、方针、政策和市委、市政府的工作部署，坚持正确舆论导向，发挥主流媒体作用；办好各类广播电视节目；开展各类宣传工作；配合中央台完成我市的采访报道工作并提供各类节目；承担市委、市政府影视宣传片的创作生产、承担影视剧、专题片等的创作生产。负责中央和市广播电视节目的传输发射；负责上星节目的传输；承担有关频率传输发射试验任务；负责全市广播电视微波电路正常运行和维护；负责相关设备的正常运行和维护。在全市建立广播电视安全播出保障体系，负责全市广播电视、互联网安全优质播出管理,组织实施重大公益工程和公益活动，</w:t>
            </w: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综合覆盖率（明确指标含义）</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广播≥90%、电视≥80%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广播≥80%、电视≥70%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广播≥70%、电视≥60%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广播≥60%、电视≥50%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对上报道任务完成率</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≥75%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开办新栏目、新节目数量</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广播≥8个、电视7个</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广播6个、电视6个</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广播4个、电视5个</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广播&lt;4个、电视&lt;5个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为全市县级广播电视台供应影视文艺节目完成率</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≥75%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年度内对数字化设备更新的完成数量占计划更新设备数量的百分比</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≥75%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＜75%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根据专业技术标准测算的设备运行情况</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乙级</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丙级</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不达标</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传统媒体对新媒体的利用程度（重新对指标进行解释）</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新媒体设备在广播电视节目制作中的使用频率</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信号测定准确度</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违规违法查处案件完成率</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无线广播电视节目的传输、覆盖和安全播出参数测算准确度</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“户户通”入户数</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10000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8000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6000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6000以下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广播电视产业与新媒体新技术新业态融合发展</w:t>
            </w:r>
          </w:p>
        </w:tc>
        <w:tc>
          <w:tcPr>
            <w:tcW w:w="2410"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统筹规划并组织实施广播电视产业发展,推进广电网与电信网、互联网三网融合</w:t>
            </w:r>
          </w:p>
        </w:tc>
        <w:tc>
          <w:tcPr>
            <w:tcW w:w="2618"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统筹规划并组织实施广播影视产业与新媒体新技术新业态融合发展,推进广电网与电信网、互联网三网融合</w:t>
            </w: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文化企业利润增长率</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6%</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6%以下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文化企业发展支持度</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发展IPTV任务目标完成率</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政务管理</w:t>
            </w:r>
          </w:p>
        </w:tc>
        <w:tc>
          <w:tcPr>
            <w:tcW w:w="2410"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负责系统综合业务管理和机关综合事务管理。</w:t>
            </w:r>
          </w:p>
        </w:tc>
        <w:tc>
          <w:tcPr>
            <w:tcW w:w="2618"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广播电视方针政策、事业产业发展规划、行业标准制定及实施检查；电视机构和业务以及广播影视、网络视听和公共视听载体节目内容和质量监督管理；依法设定行政许可并指导市场经营活动的监督管理工作；开展新闻出版广播电视科研、教育培训</w:t>
            </w: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综合业务管理工作完成率</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综合业务管理工作完成率</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旅游市场开发推广及交流合作</w:t>
            </w:r>
          </w:p>
        </w:tc>
        <w:tc>
          <w:tcPr>
            <w:tcW w:w="2410"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制定全市国内旅游、入境旅游和出境旅游的市场开发战略并组织实施；策划、推广全市旅游产品及旅游线路，开展国内外旅游市场促销工作，指导支持市内各地的旅游市场开发工作。</w:t>
            </w:r>
            <w:r>
              <w:rPr>
                <w:rFonts w:hint="eastAsia" w:ascii="宋体" w:hAnsi="宋体" w:cs="宋体"/>
                <w:kern w:val="0"/>
                <w:sz w:val="18"/>
                <w:szCs w:val="18"/>
              </w:rPr>
              <w:br w:type="textWrapping"/>
            </w:r>
            <w:r>
              <w:rPr>
                <w:rFonts w:hint="eastAsia" w:ascii="宋体" w:hAnsi="宋体" w:cs="宋体"/>
                <w:kern w:val="0"/>
                <w:sz w:val="18"/>
                <w:szCs w:val="18"/>
              </w:rPr>
              <w:t>制定全市国内旅游、入境旅游和出境旅游的市场开发战略并组织实施；策划、推广全市旅游产品及旅游线路，开展国内外旅游市场促销工作，指导支持市内各地的旅游市场开发工作。</w:t>
            </w:r>
          </w:p>
        </w:tc>
        <w:tc>
          <w:tcPr>
            <w:tcW w:w="2618"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通过旅游市场开发推广及交流合作，有效提高本市旅游的知名度、美誉度和影响力，吸引更多游客来我市旅游，从而促进我市旅游经济又好又快发展。</w:t>
            </w:r>
            <w:r>
              <w:rPr>
                <w:rFonts w:hint="eastAsia" w:ascii="宋体" w:hAnsi="宋体" w:cs="宋体"/>
                <w:kern w:val="0"/>
                <w:sz w:val="18"/>
                <w:szCs w:val="18"/>
              </w:rPr>
              <w:br w:type="textWrapping"/>
            </w:r>
            <w:r>
              <w:rPr>
                <w:rFonts w:hint="eastAsia" w:ascii="宋体" w:hAnsi="宋体" w:cs="宋体"/>
                <w:kern w:val="0"/>
                <w:sz w:val="18"/>
                <w:szCs w:val="18"/>
              </w:rPr>
              <w:t>通过旅游市场开发推广及交流合作，有效提高本市旅游的知名度、美誉度和影响力，吸引更多游客来我市旅游，从而促进我市旅游经济又好又快发展。</w:t>
            </w: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游客增长率</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≥6%</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旅游收入增长率</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≥13%</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≥11%</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旅游宣传及信息化建设</w:t>
            </w:r>
          </w:p>
        </w:tc>
        <w:tc>
          <w:tcPr>
            <w:tcW w:w="2410"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开展旅游政务宣传、形象宣传、网络宣传，投放旅游广告、组织重点旅游线路和旅游目的地的宣传推广；旅游宣传品的设计、制作；开展新闻媒体记者采访考察工作；开展信息化建设工作。</w:t>
            </w:r>
          </w:p>
        </w:tc>
        <w:tc>
          <w:tcPr>
            <w:tcW w:w="2618"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提升旅游的知名度、吸引力，扩大旅游品牌形象的影响力，吸引更多游客来旅游观光。推动全行业信息化建设，提高政府服务意识、旅游企业网络营销理念和公众办事便利化水平。</w:t>
            </w: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微博微信粉丝数增长量</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组织媒体采访次数</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≥12</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设立户外广告牌数量</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≥500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≥200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在平面媒体投放广告版面数</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≥500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≥40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邀请信息化专业人士参与信息化建设的次数</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4</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网站公开信息数量</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≥200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≥150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A级景区监测数量</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≥13%</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≥11%</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旅游规划及重点项目建设</w:t>
            </w:r>
          </w:p>
        </w:tc>
        <w:tc>
          <w:tcPr>
            <w:tcW w:w="2410"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组织全市旅游资源普查、规划、开发和相关保护工作；指导全市重点旅游区域、旅游目的地和旅游线路的规划开发，引导社会资本投资旅游业，推动旅游产业引导股权投资基金筛选优质项目，开展项目投资；加大全市旅游重点项目建设统筹力度，会同有关部门开展旅游产业投资和重大旅游项目建设的协调、服务工作；促进旅游新业态发展和旅游带动就业及扶贫工作，大力发展乡村旅游；开展旅游厕所革命，提高旅游厕所建设管理水平；协调和指导全市假日旅游和红色旅游工作。</w:t>
            </w:r>
          </w:p>
        </w:tc>
        <w:tc>
          <w:tcPr>
            <w:tcW w:w="2618"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引导撬动更多社会资金投资旅游产业，推动旅游与 产业融合发展，为打造旅游升级版提供项目支撑，创建具有较强知名度、美誉度和影响力的旅游目的地体系。</w:t>
            </w: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旅游厕所建设改造完成率</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≥70%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乡村旅游接待游客同比增长率</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A级景区、红色旅游景点游客增长率</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≥6%</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≥4%</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旅游政务管理</w:t>
            </w:r>
          </w:p>
        </w:tc>
        <w:tc>
          <w:tcPr>
            <w:tcW w:w="2410"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负责贯彻国家发展旅游业的方针、政策、法规、规范旅游市场秩序，监督管理服务质量，维护旅游消费者和经营者合法权益；组织并承担行业统计工作；承担导游考试工作；负责日常监管和行业培训，接受游客投诉，开展行风评议。</w:t>
            </w:r>
          </w:p>
        </w:tc>
        <w:tc>
          <w:tcPr>
            <w:tcW w:w="2618" w:type="dxa"/>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开展旅游行业管理，规范旅游行业行为，指导全市旅游工作。组织开展导游考试工作，提升旅游行业人员素质。按时保质完成月度和年度旅游统计核算任务。加强资金监管，提高资金使用效益；保证机关正常运转，圆满完成市政府交办的各类事项。</w:t>
            </w: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旅游统计数据核算规范率</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督导投诉游客的满意度</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导游从业资格考试违纪率</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4" w:type="dxa"/>
            <w:vMerge w:val="continue"/>
            <w:vAlign w:val="center"/>
          </w:tcPr>
          <w:p>
            <w:pPr>
              <w:widowControl/>
              <w:jc w:val="left"/>
              <w:rPr>
                <w:rFonts w:ascii="宋体" w:hAnsi="宋体" w:cs="宋体"/>
                <w:kern w:val="0"/>
                <w:sz w:val="18"/>
                <w:szCs w:val="18"/>
              </w:rPr>
            </w:pPr>
          </w:p>
        </w:tc>
        <w:tc>
          <w:tcPr>
            <w:tcW w:w="2410" w:type="dxa"/>
            <w:vMerge w:val="continue"/>
            <w:vAlign w:val="center"/>
          </w:tcPr>
          <w:p>
            <w:pPr>
              <w:widowControl/>
              <w:jc w:val="left"/>
              <w:rPr>
                <w:rFonts w:ascii="宋体" w:hAnsi="宋体" w:cs="宋体"/>
                <w:kern w:val="0"/>
                <w:sz w:val="18"/>
                <w:szCs w:val="18"/>
              </w:rPr>
            </w:pPr>
          </w:p>
        </w:tc>
        <w:tc>
          <w:tcPr>
            <w:tcW w:w="2618" w:type="dxa"/>
            <w:vMerge w:val="continue"/>
            <w:vAlign w:val="center"/>
          </w:tcPr>
          <w:p>
            <w:pPr>
              <w:widowControl/>
              <w:jc w:val="left"/>
              <w:rPr>
                <w:rFonts w:ascii="宋体" w:hAnsi="宋体" w:cs="宋体"/>
                <w:kern w:val="0"/>
                <w:sz w:val="18"/>
                <w:szCs w:val="18"/>
              </w:rPr>
            </w:pPr>
          </w:p>
        </w:tc>
        <w:tc>
          <w:tcPr>
            <w:tcW w:w="2626"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综合事务保障率</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≥95%</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≥90%</w:t>
            </w:r>
          </w:p>
        </w:tc>
        <w:tc>
          <w:tcPr>
            <w:tcW w:w="128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＜90%</w:t>
            </w: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bookmarkStart w:id="19" w:name="_Toc471398468"/>
    </w:p>
    <w:p>
      <w:pPr>
        <w:autoSpaceDE w:val="0"/>
        <w:autoSpaceDN w:val="0"/>
        <w:adjustRightInd w:val="0"/>
        <w:ind w:firstLine="640" w:firstLineChars="200"/>
        <w:jc w:val="left"/>
        <w:rPr>
          <w:rFonts w:ascii="Times New Roman" w:hAnsi="Times New Roman" w:cs="Times New Roman"/>
          <w:sz w:val="32"/>
          <w:szCs w:val="24"/>
        </w:rPr>
      </w:pPr>
      <w:r>
        <w:rPr>
          <w:rFonts w:ascii="Times New Roman" w:hAnsi="Times New Roman" w:cs="Times New Roman"/>
          <w:sz w:val="32"/>
          <w:szCs w:val="24"/>
        </w:rPr>
        <w:t>20</w:t>
      </w:r>
      <w:r>
        <w:rPr>
          <w:rFonts w:hint="eastAsia" w:ascii="Times New Roman" w:hAnsi="Times New Roman" w:cs="Times New Roman"/>
          <w:sz w:val="32"/>
          <w:szCs w:val="24"/>
        </w:rPr>
        <w:t>20年，我局安排政府采购预算962.77万元。具体内容见下表。</w:t>
      </w:r>
    </w:p>
    <w:p>
      <w:pPr>
        <w:ind w:firstLine="640" w:firstLineChars="200"/>
        <w:jc w:val="center"/>
        <w:outlineLvl w:val="0"/>
        <w:rPr>
          <w:rFonts w:ascii="Times New Roman" w:hAnsi="宋体"/>
          <w:sz w:val="32"/>
        </w:rPr>
      </w:pPr>
      <w:r>
        <w:rPr>
          <w:rFonts w:hint="eastAsia" w:ascii="方正小标宋_GBK" w:eastAsia="方正小标宋_GBK"/>
          <w:sz w:val="32"/>
        </w:rPr>
        <w:t>部门政府采购预算</w:t>
      </w:r>
      <w:r>
        <w:rPr>
          <w:rFonts w:ascii="方正小标宋_GBK" w:eastAsia="方正小标宋_GBK"/>
          <w:sz w:val="32"/>
        </w:rPr>
        <w:fldChar w:fldCharType="begin"/>
      </w:r>
      <w:r>
        <w:rPr>
          <w:rFonts w:ascii="方正小标宋_GBK" w:eastAsia="方正小标宋_GBK"/>
          <w:sz w:val="32"/>
        </w:rPr>
        <w:instrText xml:space="preserve"> </w:instrText>
      </w:r>
      <w:r>
        <w:rPr>
          <w:rFonts w:hint="eastAsia" w:ascii="方正小标宋_GBK" w:eastAsia="方正小标宋_GBK"/>
          <w:sz w:val="32"/>
        </w:rPr>
        <w:instrText xml:space="preserve">TC </w:instrText>
      </w:r>
      <w:bookmarkStart w:id="20" w:name="_Toc29906724"/>
      <w:r>
        <w:rPr>
          <w:rFonts w:hint="eastAsia" w:ascii="方正小标宋_GBK" w:eastAsia="方正小标宋_GBK"/>
          <w:sz w:val="32"/>
        </w:rPr>
        <w:instrText xml:space="preserve">部门政府采购预算</w:instrText>
      </w:r>
      <w:bookmarkEnd w:id="20"/>
      <w:r>
        <w:rPr>
          <w:rFonts w:hint="eastAsia" w:ascii="方正小标宋_GBK" w:eastAsia="方正小标宋_GBK"/>
          <w:sz w:val="32"/>
        </w:rPr>
        <w:instrText xml:space="preserve"> \f A \l 1</w:instrText>
      </w:r>
      <w:r>
        <w:rPr>
          <w:rFonts w:ascii="方正小标宋_GBK" w:eastAsia="方正小标宋_GBK"/>
          <w:sz w:val="32"/>
        </w:rPr>
        <w:instrText xml:space="preserve"> </w:instrText>
      </w:r>
      <w:r>
        <w:rPr>
          <w:rFonts w:ascii="方正小标宋_GBK" w:eastAsia="方正小标宋_GBK"/>
          <w:sz w:val="32"/>
        </w:rPr>
        <w:fldChar w:fldCharType="end"/>
      </w:r>
    </w:p>
    <w:tbl>
      <w:tblPr>
        <w:tblStyle w:val="9"/>
        <w:tblW w:w="1452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8"/>
        <w:gridCol w:w="1062"/>
        <w:gridCol w:w="1434"/>
        <w:gridCol w:w="1434"/>
        <w:gridCol w:w="664"/>
        <w:gridCol w:w="850"/>
        <w:gridCol w:w="850"/>
        <w:gridCol w:w="1062"/>
        <w:gridCol w:w="1062"/>
        <w:gridCol w:w="1062"/>
        <w:gridCol w:w="1062"/>
        <w:gridCol w:w="1062"/>
        <w:gridCol w:w="10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 w:hRule="atLeast"/>
          <w:tblHeader/>
          <w:jc w:val="center"/>
        </w:trPr>
        <w:tc>
          <w:tcPr>
            <w:tcW w:w="8152"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431承德市旅游和文化广电局</w:t>
            </w:r>
          </w:p>
        </w:tc>
        <w:tc>
          <w:tcPr>
            <w:tcW w:w="6373"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 w:hRule="atLeast"/>
          <w:tblHeader/>
          <w:jc w:val="center"/>
        </w:trPr>
        <w:tc>
          <w:tcPr>
            <w:tcW w:w="2920"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4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4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66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85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5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373" w:type="dxa"/>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 w:hRule="atLeast"/>
          <w:tblHeader/>
          <w:jc w:val="center"/>
        </w:trPr>
        <w:tc>
          <w:tcPr>
            <w:tcW w:w="185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6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434" w:type="dxa"/>
            <w:vMerge w:val="continue"/>
            <w:shd w:val="clear" w:color="auto" w:fill="auto"/>
            <w:vAlign w:val="center"/>
          </w:tcPr>
          <w:p>
            <w:pPr>
              <w:spacing w:line="300" w:lineRule="exact"/>
              <w:jc w:val="left"/>
              <w:outlineLvl w:val="0"/>
              <w:rPr>
                <w:rFonts w:ascii="Times New Roman" w:eastAsia="方正仿宋_GBK"/>
                <w:sz w:val="28"/>
              </w:rPr>
            </w:pPr>
          </w:p>
        </w:tc>
        <w:tc>
          <w:tcPr>
            <w:tcW w:w="1434" w:type="dxa"/>
            <w:vMerge w:val="continue"/>
            <w:shd w:val="clear" w:color="auto" w:fill="auto"/>
            <w:vAlign w:val="center"/>
          </w:tcPr>
          <w:p>
            <w:pPr>
              <w:spacing w:line="300" w:lineRule="exact"/>
              <w:jc w:val="left"/>
              <w:outlineLvl w:val="0"/>
              <w:rPr>
                <w:rFonts w:ascii="Times New Roman" w:eastAsia="方正仿宋_GBK"/>
                <w:sz w:val="28"/>
              </w:rPr>
            </w:pPr>
          </w:p>
        </w:tc>
        <w:tc>
          <w:tcPr>
            <w:tcW w:w="664" w:type="dxa"/>
            <w:vMerge w:val="continue"/>
            <w:shd w:val="clear" w:color="auto" w:fill="auto"/>
            <w:vAlign w:val="center"/>
          </w:tcPr>
          <w:p>
            <w:pPr>
              <w:spacing w:line="300" w:lineRule="exact"/>
              <w:jc w:val="left"/>
              <w:outlineLvl w:val="0"/>
              <w:rPr>
                <w:rFonts w:ascii="Times New Roman" w:eastAsia="方正仿宋_GBK"/>
                <w:sz w:val="28"/>
              </w:rPr>
            </w:pPr>
          </w:p>
        </w:tc>
        <w:tc>
          <w:tcPr>
            <w:tcW w:w="850" w:type="dxa"/>
            <w:vMerge w:val="continue"/>
            <w:shd w:val="clear" w:color="auto" w:fill="auto"/>
            <w:vAlign w:val="center"/>
          </w:tcPr>
          <w:p>
            <w:pPr>
              <w:spacing w:line="300" w:lineRule="exact"/>
              <w:jc w:val="left"/>
              <w:outlineLvl w:val="0"/>
              <w:rPr>
                <w:rFonts w:ascii="Times New Roman" w:eastAsia="方正仿宋_GBK"/>
                <w:sz w:val="28"/>
              </w:rPr>
            </w:pPr>
          </w:p>
        </w:tc>
        <w:tc>
          <w:tcPr>
            <w:tcW w:w="850" w:type="dxa"/>
            <w:vMerge w:val="continue"/>
            <w:shd w:val="clear" w:color="auto" w:fill="auto"/>
            <w:vAlign w:val="center"/>
          </w:tcPr>
          <w:p>
            <w:pPr>
              <w:spacing w:line="300" w:lineRule="exact"/>
              <w:jc w:val="left"/>
              <w:outlineLvl w:val="0"/>
              <w:rPr>
                <w:rFonts w:ascii="Times New Roman" w:eastAsia="方正仿宋_GBK"/>
                <w:sz w:val="28"/>
              </w:rPr>
            </w:pPr>
          </w:p>
        </w:tc>
        <w:tc>
          <w:tcPr>
            <w:tcW w:w="106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06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06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06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06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06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 w:hRule="atLeast"/>
          <w:jc w:val="center"/>
        </w:trPr>
        <w:tc>
          <w:tcPr>
            <w:tcW w:w="185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062" w:type="dxa"/>
            <w:shd w:val="clear" w:color="auto" w:fill="auto"/>
            <w:vAlign w:val="center"/>
          </w:tcPr>
          <w:p>
            <w:pPr>
              <w:spacing w:line="300" w:lineRule="exact"/>
              <w:jc w:val="right"/>
              <w:rPr>
                <w:rFonts w:ascii="方正书宋_GBK" w:eastAsia="方正书宋_GBK"/>
                <w:b/>
              </w:rPr>
            </w:pPr>
          </w:p>
        </w:tc>
        <w:tc>
          <w:tcPr>
            <w:tcW w:w="1434" w:type="dxa"/>
            <w:shd w:val="clear" w:color="auto" w:fill="auto"/>
            <w:vAlign w:val="center"/>
          </w:tcPr>
          <w:p>
            <w:pPr>
              <w:spacing w:line="300" w:lineRule="exact"/>
              <w:jc w:val="left"/>
              <w:rPr>
                <w:rFonts w:ascii="方正书宋_GBK" w:eastAsia="方正书宋_GBK"/>
                <w:b/>
              </w:rPr>
            </w:pPr>
          </w:p>
        </w:tc>
        <w:tc>
          <w:tcPr>
            <w:tcW w:w="1434" w:type="dxa"/>
            <w:shd w:val="clear" w:color="auto" w:fill="auto"/>
            <w:vAlign w:val="center"/>
          </w:tcPr>
          <w:p>
            <w:pPr>
              <w:spacing w:line="300" w:lineRule="exact"/>
              <w:jc w:val="left"/>
              <w:rPr>
                <w:rFonts w:ascii="方正书宋_GBK" w:eastAsia="方正书宋_GBK"/>
                <w:b/>
              </w:rPr>
            </w:pPr>
          </w:p>
        </w:tc>
        <w:tc>
          <w:tcPr>
            <w:tcW w:w="664" w:type="dxa"/>
            <w:shd w:val="clear" w:color="auto" w:fill="auto"/>
            <w:vAlign w:val="center"/>
          </w:tcPr>
          <w:p>
            <w:pPr>
              <w:spacing w:line="300" w:lineRule="exact"/>
              <w:jc w:val="center"/>
              <w:rPr>
                <w:rFonts w:ascii="方正书宋_GBK" w:eastAsia="方正书宋_GBK"/>
                <w:b/>
              </w:rPr>
            </w:pPr>
          </w:p>
        </w:tc>
        <w:tc>
          <w:tcPr>
            <w:tcW w:w="850" w:type="dxa"/>
            <w:shd w:val="clear" w:color="auto" w:fill="auto"/>
            <w:vAlign w:val="center"/>
          </w:tcPr>
          <w:p>
            <w:pPr>
              <w:spacing w:line="300" w:lineRule="exact"/>
              <w:jc w:val="right"/>
              <w:rPr>
                <w:rFonts w:ascii="方正书宋_GBK" w:eastAsia="方正书宋_GBK"/>
                <w:b/>
              </w:rPr>
            </w:pPr>
          </w:p>
        </w:tc>
        <w:tc>
          <w:tcPr>
            <w:tcW w:w="850" w:type="dxa"/>
            <w:shd w:val="clear" w:color="auto" w:fill="auto"/>
            <w:vAlign w:val="center"/>
          </w:tcPr>
          <w:p>
            <w:pPr>
              <w:spacing w:line="300" w:lineRule="exact"/>
              <w:jc w:val="right"/>
              <w:rPr>
                <w:rFonts w:ascii="方正书宋_GBK" w:eastAsia="方正书宋_GBK"/>
                <w:b/>
              </w:rPr>
            </w:pPr>
          </w:p>
        </w:tc>
        <w:tc>
          <w:tcPr>
            <w:tcW w:w="1062" w:type="dxa"/>
            <w:shd w:val="clear" w:color="auto" w:fill="auto"/>
            <w:vAlign w:val="center"/>
          </w:tcPr>
          <w:p>
            <w:pPr>
              <w:spacing w:line="300" w:lineRule="exact"/>
              <w:jc w:val="right"/>
              <w:rPr>
                <w:rFonts w:ascii="方正书宋_GBK" w:eastAsia="方正书宋_GBK"/>
                <w:b/>
              </w:rPr>
            </w:pPr>
            <w:r>
              <w:rPr>
                <w:rFonts w:ascii="方正书宋_GBK" w:eastAsia="方正书宋_GBK"/>
                <w:b/>
              </w:rPr>
              <w:t>962.77</w:t>
            </w:r>
          </w:p>
        </w:tc>
        <w:tc>
          <w:tcPr>
            <w:tcW w:w="1062" w:type="dxa"/>
            <w:shd w:val="clear" w:color="auto" w:fill="auto"/>
            <w:vAlign w:val="center"/>
          </w:tcPr>
          <w:p>
            <w:pPr>
              <w:spacing w:line="300" w:lineRule="exact"/>
              <w:jc w:val="right"/>
              <w:rPr>
                <w:rFonts w:ascii="方正书宋_GBK" w:eastAsia="方正书宋_GBK"/>
                <w:b/>
              </w:rPr>
            </w:pPr>
            <w:r>
              <w:rPr>
                <w:rFonts w:ascii="方正书宋_GBK" w:eastAsia="方正书宋_GBK"/>
                <w:b/>
              </w:rPr>
              <w:t>962.77</w:t>
            </w:r>
          </w:p>
        </w:tc>
        <w:tc>
          <w:tcPr>
            <w:tcW w:w="1062" w:type="dxa"/>
            <w:shd w:val="clear" w:color="auto" w:fill="auto"/>
            <w:vAlign w:val="center"/>
          </w:tcPr>
          <w:p>
            <w:pPr>
              <w:spacing w:line="300" w:lineRule="exact"/>
              <w:jc w:val="right"/>
              <w:rPr>
                <w:rFonts w:ascii="方正书宋_GBK" w:eastAsia="方正书宋_GBK"/>
                <w:b/>
              </w:rPr>
            </w:pPr>
          </w:p>
        </w:tc>
        <w:tc>
          <w:tcPr>
            <w:tcW w:w="1062" w:type="dxa"/>
            <w:shd w:val="clear" w:color="auto" w:fill="auto"/>
            <w:vAlign w:val="center"/>
          </w:tcPr>
          <w:p>
            <w:pPr>
              <w:spacing w:line="300" w:lineRule="exact"/>
              <w:jc w:val="right"/>
              <w:rPr>
                <w:rFonts w:ascii="方正书宋_GBK" w:eastAsia="方正书宋_GBK"/>
                <w:b/>
              </w:rPr>
            </w:pPr>
          </w:p>
        </w:tc>
        <w:tc>
          <w:tcPr>
            <w:tcW w:w="1062" w:type="dxa"/>
            <w:shd w:val="clear" w:color="auto" w:fill="auto"/>
            <w:vAlign w:val="center"/>
          </w:tcPr>
          <w:p>
            <w:pPr>
              <w:spacing w:line="300" w:lineRule="exact"/>
              <w:jc w:val="right"/>
              <w:rPr>
                <w:rFonts w:ascii="方正书宋_GBK" w:eastAsia="方正书宋_GBK"/>
                <w:b/>
              </w:rPr>
            </w:pPr>
          </w:p>
        </w:tc>
        <w:tc>
          <w:tcPr>
            <w:tcW w:w="1062"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 w:hRule="atLeast"/>
          <w:jc w:val="center"/>
        </w:trPr>
        <w:tc>
          <w:tcPr>
            <w:tcW w:w="185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承德市旅游和文化广电局小计</w:t>
            </w:r>
          </w:p>
        </w:tc>
        <w:tc>
          <w:tcPr>
            <w:tcW w:w="1062" w:type="dxa"/>
            <w:shd w:val="clear" w:color="auto" w:fill="auto"/>
            <w:vAlign w:val="center"/>
          </w:tcPr>
          <w:p>
            <w:pPr>
              <w:spacing w:line="300" w:lineRule="exact"/>
              <w:jc w:val="right"/>
              <w:rPr>
                <w:rFonts w:ascii="方正书宋_GBK" w:eastAsia="方正书宋_GBK"/>
                <w:b/>
              </w:rPr>
            </w:pPr>
          </w:p>
        </w:tc>
        <w:tc>
          <w:tcPr>
            <w:tcW w:w="1434" w:type="dxa"/>
            <w:shd w:val="clear" w:color="auto" w:fill="auto"/>
            <w:vAlign w:val="center"/>
          </w:tcPr>
          <w:p>
            <w:pPr>
              <w:spacing w:line="300" w:lineRule="exact"/>
              <w:jc w:val="left"/>
              <w:rPr>
                <w:rFonts w:ascii="方正书宋_GBK" w:eastAsia="方正书宋_GBK"/>
                <w:b/>
              </w:rPr>
            </w:pPr>
          </w:p>
        </w:tc>
        <w:tc>
          <w:tcPr>
            <w:tcW w:w="1434" w:type="dxa"/>
            <w:shd w:val="clear" w:color="auto" w:fill="auto"/>
            <w:vAlign w:val="center"/>
          </w:tcPr>
          <w:p>
            <w:pPr>
              <w:spacing w:line="300" w:lineRule="exact"/>
              <w:jc w:val="left"/>
              <w:rPr>
                <w:rFonts w:ascii="方正书宋_GBK" w:eastAsia="方正书宋_GBK"/>
                <w:b/>
              </w:rPr>
            </w:pPr>
          </w:p>
        </w:tc>
        <w:tc>
          <w:tcPr>
            <w:tcW w:w="664" w:type="dxa"/>
            <w:shd w:val="clear" w:color="auto" w:fill="auto"/>
            <w:vAlign w:val="center"/>
          </w:tcPr>
          <w:p>
            <w:pPr>
              <w:spacing w:line="300" w:lineRule="exact"/>
              <w:jc w:val="center"/>
              <w:rPr>
                <w:rFonts w:ascii="方正书宋_GBK" w:eastAsia="方正书宋_GBK"/>
                <w:b/>
              </w:rPr>
            </w:pPr>
          </w:p>
        </w:tc>
        <w:tc>
          <w:tcPr>
            <w:tcW w:w="850" w:type="dxa"/>
            <w:shd w:val="clear" w:color="auto" w:fill="auto"/>
            <w:vAlign w:val="center"/>
          </w:tcPr>
          <w:p>
            <w:pPr>
              <w:spacing w:line="300" w:lineRule="exact"/>
              <w:jc w:val="right"/>
              <w:rPr>
                <w:rFonts w:ascii="方正书宋_GBK" w:eastAsia="方正书宋_GBK"/>
                <w:b/>
              </w:rPr>
            </w:pPr>
          </w:p>
        </w:tc>
        <w:tc>
          <w:tcPr>
            <w:tcW w:w="850" w:type="dxa"/>
            <w:shd w:val="clear" w:color="auto" w:fill="auto"/>
            <w:vAlign w:val="center"/>
          </w:tcPr>
          <w:p>
            <w:pPr>
              <w:spacing w:line="300" w:lineRule="exact"/>
              <w:jc w:val="right"/>
              <w:rPr>
                <w:rFonts w:ascii="方正书宋_GBK" w:eastAsia="方正书宋_GBK"/>
                <w:b/>
              </w:rPr>
            </w:pPr>
          </w:p>
        </w:tc>
        <w:tc>
          <w:tcPr>
            <w:tcW w:w="1062" w:type="dxa"/>
            <w:shd w:val="clear" w:color="auto" w:fill="auto"/>
            <w:vAlign w:val="center"/>
          </w:tcPr>
          <w:p>
            <w:pPr>
              <w:spacing w:line="300" w:lineRule="exact"/>
              <w:jc w:val="right"/>
              <w:rPr>
                <w:rFonts w:ascii="方正书宋_GBK" w:eastAsia="方正书宋_GBK"/>
                <w:b/>
              </w:rPr>
            </w:pPr>
            <w:r>
              <w:rPr>
                <w:rFonts w:ascii="方正书宋_GBK" w:eastAsia="方正书宋_GBK"/>
                <w:b/>
              </w:rPr>
              <w:t>950.93</w:t>
            </w:r>
          </w:p>
        </w:tc>
        <w:tc>
          <w:tcPr>
            <w:tcW w:w="1062" w:type="dxa"/>
            <w:shd w:val="clear" w:color="auto" w:fill="auto"/>
            <w:vAlign w:val="center"/>
          </w:tcPr>
          <w:p>
            <w:pPr>
              <w:spacing w:line="300" w:lineRule="exact"/>
              <w:jc w:val="right"/>
              <w:rPr>
                <w:rFonts w:ascii="方正书宋_GBK" w:eastAsia="方正书宋_GBK"/>
                <w:b/>
              </w:rPr>
            </w:pPr>
            <w:r>
              <w:rPr>
                <w:rFonts w:ascii="方正书宋_GBK" w:eastAsia="方正书宋_GBK"/>
                <w:b/>
              </w:rPr>
              <w:t>950.93</w:t>
            </w:r>
          </w:p>
        </w:tc>
        <w:tc>
          <w:tcPr>
            <w:tcW w:w="1062" w:type="dxa"/>
            <w:shd w:val="clear" w:color="auto" w:fill="auto"/>
            <w:vAlign w:val="center"/>
          </w:tcPr>
          <w:p>
            <w:pPr>
              <w:spacing w:line="300" w:lineRule="exact"/>
              <w:jc w:val="right"/>
              <w:rPr>
                <w:rFonts w:ascii="方正书宋_GBK" w:eastAsia="方正书宋_GBK"/>
                <w:b/>
              </w:rPr>
            </w:pPr>
          </w:p>
        </w:tc>
        <w:tc>
          <w:tcPr>
            <w:tcW w:w="1062" w:type="dxa"/>
            <w:shd w:val="clear" w:color="auto" w:fill="auto"/>
            <w:vAlign w:val="center"/>
          </w:tcPr>
          <w:p>
            <w:pPr>
              <w:spacing w:line="300" w:lineRule="exact"/>
              <w:jc w:val="right"/>
              <w:rPr>
                <w:rFonts w:ascii="方正书宋_GBK" w:eastAsia="方正书宋_GBK"/>
                <w:b/>
              </w:rPr>
            </w:pPr>
          </w:p>
        </w:tc>
        <w:tc>
          <w:tcPr>
            <w:tcW w:w="1062" w:type="dxa"/>
            <w:shd w:val="clear" w:color="auto" w:fill="auto"/>
            <w:vAlign w:val="center"/>
          </w:tcPr>
          <w:p>
            <w:pPr>
              <w:spacing w:line="300" w:lineRule="exact"/>
              <w:jc w:val="right"/>
              <w:rPr>
                <w:rFonts w:ascii="方正书宋_GBK" w:eastAsia="方正书宋_GBK"/>
                <w:b/>
              </w:rPr>
            </w:pPr>
          </w:p>
        </w:tc>
        <w:tc>
          <w:tcPr>
            <w:tcW w:w="1062"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央视《朝闻天下》广告宣传</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400.00</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广告服务</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C0806</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秒</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400.00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400.00</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劳务派遣人员经费（旅游咨询服务信息中心）</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35.84</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旅游服务</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C0818</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元</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4.48</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35.84</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35.84</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142.97</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其他信息技术服务</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C0299</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元</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29.40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29.40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29.40</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142.97</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邮政服务</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C081901</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元</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142.97</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元</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0.85</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0.85</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0.85</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142.97</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燃料油</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A160105</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元</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142.97</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车辆维修和保养服务</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元</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2.80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2.80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2.80</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142.97</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元</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142.97</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元</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0.36</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0.36</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0.36</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142.97</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元</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0.49</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0.49</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0.49</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142.97</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元</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2.80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2.80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2.80</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142.97</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元</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1.05</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1.05</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1.05</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142.97</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元</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5.72</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5.72</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5.72</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142.97</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元</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49.06</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49.06</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49.06</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142.97</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元</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9.06</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9.06</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9.06</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与北京联合开展</w:t>
            </w:r>
            <w:r>
              <w:rPr>
                <w:rFonts w:hint="cs" w:ascii="方正书宋_GBK" w:eastAsia="方正书宋_GBK"/>
              </w:rPr>
              <w:t>“</w:t>
            </w:r>
            <w:r>
              <w:rPr>
                <w:rFonts w:hint="eastAsia" w:ascii="方正书宋_GBK" w:eastAsia="方正书宋_GBK"/>
              </w:rPr>
              <w:t>周末游河北</w:t>
            </w:r>
            <w:r>
              <w:rPr>
                <w:rFonts w:hint="cs" w:ascii="方正书宋_GBK" w:eastAsia="方正书宋_GBK"/>
              </w:rPr>
              <w:t>”</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旅游服务</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C0818</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次</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第四届承德市旅游产业发展大会</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旅游服务</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C0818</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元</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第四届承德市旅游产业发展大会</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旅游服务</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C0818</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元</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第四届承德市旅游产业发展大会</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旅游服务</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C0818</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元</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第四届承德市旅游产业发展大会</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旅游服务</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C0818</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元</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1000.00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第四届承德市旅游产业发展大会</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旅游服务</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C0818</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元</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智慧旅游平台服务费</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316.20</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旅游服务</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C0818</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次</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316.20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316.20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316.20</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 w:hRule="atLeast"/>
          <w:jc w:val="center"/>
        </w:trPr>
        <w:tc>
          <w:tcPr>
            <w:tcW w:w="185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承德市图书馆小计</w:t>
            </w:r>
          </w:p>
        </w:tc>
        <w:tc>
          <w:tcPr>
            <w:tcW w:w="1062" w:type="dxa"/>
            <w:shd w:val="clear" w:color="auto" w:fill="auto"/>
            <w:vAlign w:val="center"/>
          </w:tcPr>
          <w:p>
            <w:pPr>
              <w:spacing w:line="300" w:lineRule="exact"/>
              <w:jc w:val="right"/>
              <w:rPr>
                <w:rFonts w:ascii="方正书宋_GBK" w:eastAsia="方正书宋_GBK"/>
                <w:b/>
              </w:rPr>
            </w:pPr>
          </w:p>
        </w:tc>
        <w:tc>
          <w:tcPr>
            <w:tcW w:w="1434" w:type="dxa"/>
            <w:shd w:val="clear" w:color="auto" w:fill="auto"/>
            <w:vAlign w:val="center"/>
          </w:tcPr>
          <w:p>
            <w:pPr>
              <w:spacing w:line="300" w:lineRule="exact"/>
              <w:jc w:val="left"/>
              <w:rPr>
                <w:rFonts w:ascii="方正书宋_GBK" w:eastAsia="方正书宋_GBK"/>
                <w:b/>
              </w:rPr>
            </w:pPr>
          </w:p>
        </w:tc>
        <w:tc>
          <w:tcPr>
            <w:tcW w:w="1434" w:type="dxa"/>
            <w:shd w:val="clear" w:color="auto" w:fill="auto"/>
            <w:vAlign w:val="center"/>
          </w:tcPr>
          <w:p>
            <w:pPr>
              <w:spacing w:line="300" w:lineRule="exact"/>
              <w:jc w:val="left"/>
              <w:rPr>
                <w:rFonts w:ascii="方正书宋_GBK" w:eastAsia="方正书宋_GBK"/>
                <w:b/>
              </w:rPr>
            </w:pPr>
          </w:p>
        </w:tc>
        <w:tc>
          <w:tcPr>
            <w:tcW w:w="664" w:type="dxa"/>
            <w:shd w:val="clear" w:color="auto" w:fill="auto"/>
            <w:vAlign w:val="center"/>
          </w:tcPr>
          <w:p>
            <w:pPr>
              <w:spacing w:line="300" w:lineRule="exact"/>
              <w:jc w:val="center"/>
              <w:rPr>
                <w:rFonts w:ascii="方正书宋_GBK" w:eastAsia="方正书宋_GBK"/>
                <w:b/>
              </w:rPr>
            </w:pPr>
          </w:p>
        </w:tc>
        <w:tc>
          <w:tcPr>
            <w:tcW w:w="850" w:type="dxa"/>
            <w:shd w:val="clear" w:color="auto" w:fill="auto"/>
            <w:vAlign w:val="center"/>
          </w:tcPr>
          <w:p>
            <w:pPr>
              <w:spacing w:line="300" w:lineRule="exact"/>
              <w:jc w:val="right"/>
              <w:rPr>
                <w:rFonts w:ascii="方正书宋_GBK" w:eastAsia="方正书宋_GBK"/>
                <w:b/>
              </w:rPr>
            </w:pPr>
          </w:p>
        </w:tc>
        <w:tc>
          <w:tcPr>
            <w:tcW w:w="850" w:type="dxa"/>
            <w:shd w:val="clear" w:color="auto" w:fill="auto"/>
            <w:vAlign w:val="center"/>
          </w:tcPr>
          <w:p>
            <w:pPr>
              <w:spacing w:line="300" w:lineRule="exact"/>
              <w:jc w:val="right"/>
              <w:rPr>
                <w:rFonts w:ascii="方正书宋_GBK" w:eastAsia="方正书宋_GBK"/>
                <w:b/>
              </w:rPr>
            </w:pPr>
          </w:p>
        </w:tc>
        <w:tc>
          <w:tcPr>
            <w:tcW w:w="1062" w:type="dxa"/>
            <w:shd w:val="clear" w:color="auto" w:fill="auto"/>
            <w:vAlign w:val="center"/>
          </w:tcPr>
          <w:p>
            <w:pPr>
              <w:spacing w:line="300" w:lineRule="exact"/>
              <w:jc w:val="right"/>
              <w:rPr>
                <w:rFonts w:ascii="方正书宋_GBK" w:eastAsia="方正书宋_GBK"/>
                <w:b/>
              </w:rPr>
            </w:pPr>
            <w:r>
              <w:rPr>
                <w:rFonts w:ascii="方正书宋_GBK" w:eastAsia="方正书宋_GBK"/>
                <w:b/>
              </w:rPr>
              <w:t>6.26</w:t>
            </w:r>
          </w:p>
        </w:tc>
        <w:tc>
          <w:tcPr>
            <w:tcW w:w="1062" w:type="dxa"/>
            <w:shd w:val="clear" w:color="auto" w:fill="auto"/>
            <w:vAlign w:val="center"/>
          </w:tcPr>
          <w:p>
            <w:pPr>
              <w:spacing w:line="300" w:lineRule="exact"/>
              <w:jc w:val="right"/>
              <w:rPr>
                <w:rFonts w:ascii="方正书宋_GBK" w:eastAsia="方正书宋_GBK"/>
                <w:b/>
              </w:rPr>
            </w:pPr>
            <w:r>
              <w:rPr>
                <w:rFonts w:ascii="方正书宋_GBK" w:eastAsia="方正书宋_GBK"/>
                <w:b/>
              </w:rPr>
              <w:t>6.26</w:t>
            </w:r>
          </w:p>
        </w:tc>
        <w:tc>
          <w:tcPr>
            <w:tcW w:w="1062" w:type="dxa"/>
            <w:shd w:val="clear" w:color="auto" w:fill="auto"/>
            <w:vAlign w:val="center"/>
          </w:tcPr>
          <w:p>
            <w:pPr>
              <w:spacing w:line="300" w:lineRule="exact"/>
              <w:jc w:val="right"/>
              <w:rPr>
                <w:rFonts w:ascii="方正书宋_GBK" w:eastAsia="方正书宋_GBK"/>
                <w:b/>
              </w:rPr>
            </w:pPr>
          </w:p>
        </w:tc>
        <w:tc>
          <w:tcPr>
            <w:tcW w:w="1062" w:type="dxa"/>
            <w:shd w:val="clear" w:color="auto" w:fill="auto"/>
            <w:vAlign w:val="center"/>
          </w:tcPr>
          <w:p>
            <w:pPr>
              <w:spacing w:line="300" w:lineRule="exact"/>
              <w:jc w:val="right"/>
              <w:rPr>
                <w:rFonts w:ascii="方正书宋_GBK" w:eastAsia="方正书宋_GBK"/>
                <w:b/>
              </w:rPr>
            </w:pPr>
          </w:p>
        </w:tc>
        <w:tc>
          <w:tcPr>
            <w:tcW w:w="1062" w:type="dxa"/>
            <w:shd w:val="clear" w:color="auto" w:fill="auto"/>
            <w:vAlign w:val="center"/>
          </w:tcPr>
          <w:p>
            <w:pPr>
              <w:spacing w:line="300" w:lineRule="exact"/>
              <w:jc w:val="right"/>
              <w:rPr>
                <w:rFonts w:ascii="方正书宋_GBK" w:eastAsia="方正书宋_GBK"/>
                <w:b/>
              </w:rPr>
            </w:pPr>
          </w:p>
        </w:tc>
        <w:tc>
          <w:tcPr>
            <w:tcW w:w="1062"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图书馆免费开放配套资金</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图书馆免费开放配套资金</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其他椅凳类</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A060399</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把</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0"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图书馆免费开放配套资金</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木制台、桌类</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A060205</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0.04</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0.04</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0.04</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9"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图书馆免费开放配套资金</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便携式计算机</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A02010105</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25.41</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25.41</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25.41</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25.41</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0.42</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0.42</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0.42</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9" w:hRule="atLeast"/>
          <w:jc w:val="center"/>
        </w:trPr>
        <w:tc>
          <w:tcPr>
            <w:tcW w:w="185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承德市群众艺术馆小计</w:t>
            </w:r>
          </w:p>
        </w:tc>
        <w:tc>
          <w:tcPr>
            <w:tcW w:w="1062" w:type="dxa"/>
            <w:shd w:val="clear" w:color="auto" w:fill="auto"/>
            <w:vAlign w:val="center"/>
          </w:tcPr>
          <w:p>
            <w:pPr>
              <w:spacing w:line="300" w:lineRule="exact"/>
              <w:jc w:val="right"/>
              <w:rPr>
                <w:rFonts w:ascii="方正书宋_GBK" w:eastAsia="方正书宋_GBK"/>
                <w:b/>
              </w:rPr>
            </w:pPr>
          </w:p>
        </w:tc>
        <w:tc>
          <w:tcPr>
            <w:tcW w:w="1434" w:type="dxa"/>
            <w:shd w:val="clear" w:color="auto" w:fill="auto"/>
            <w:vAlign w:val="center"/>
          </w:tcPr>
          <w:p>
            <w:pPr>
              <w:spacing w:line="300" w:lineRule="exact"/>
              <w:jc w:val="left"/>
              <w:rPr>
                <w:rFonts w:ascii="方正书宋_GBK" w:eastAsia="方正书宋_GBK"/>
                <w:b/>
              </w:rPr>
            </w:pPr>
          </w:p>
        </w:tc>
        <w:tc>
          <w:tcPr>
            <w:tcW w:w="1434" w:type="dxa"/>
            <w:shd w:val="clear" w:color="auto" w:fill="auto"/>
            <w:vAlign w:val="center"/>
          </w:tcPr>
          <w:p>
            <w:pPr>
              <w:spacing w:line="300" w:lineRule="exact"/>
              <w:jc w:val="left"/>
              <w:rPr>
                <w:rFonts w:ascii="方正书宋_GBK" w:eastAsia="方正书宋_GBK"/>
                <w:b/>
              </w:rPr>
            </w:pPr>
          </w:p>
        </w:tc>
        <w:tc>
          <w:tcPr>
            <w:tcW w:w="664" w:type="dxa"/>
            <w:shd w:val="clear" w:color="auto" w:fill="auto"/>
            <w:vAlign w:val="center"/>
          </w:tcPr>
          <w:p>
            <w:pPr>
              <w:spacing w:line="300" w:lineRule="exact"/>
              <w:jc w:val="center"/>
              <w:rPr>
                <w:rFonts w:ascii="方正书宋_GBK" w:eastAsia="方正书宋_GBK"/>
                <w:b/>
              </w:rPr>
            </w:pPr>
          </w:p>
        </w:tc>
        <w:tc>
          <w:tcPr>
            <w:tcW w:w="850" w:type="dxa"/>
            <w:shd w:val="clear" w:color="auto" w:fill="auto"/>
            <w:vAlign w:val="center"/>
          </w:tcPr>
          <w:p>
            <w:pPr>
              <w:spacing w:line="300" w:lineRule="exact"/>
              <w:jc w:val="right"/>
              <w:rPr>
                <w:rFonts w:ascii="方正书宋_GBK" w:eastAsia="方正书宋_GBK"/>
                <w:b/>
              </w:rPr>
            </w:pPr>
          </w:p>
        </w:tc>
        <w:tc>
          <w:tcPr>
            <w:tcW w:w="850" w:type="dxa"/>
            <w:shd w:val="clear" w:color="auto" w:fill="auto"/>
            <w:vAlign w:val="center"/>
          </w:tcPr>
          <w:p>
            <w:pPr>
              <w:spacing w:line="300" w:lineRule="exact"/>
              <w:jc w:val="right"/>
              <w:rPr>
                <w:rFonts w:ascii="方正书宋_GBK" w:eastAsia="方正书宋_GBK"/>
                <w:b/>
              </w:rPr>
            </w:pPr>
          </w:p>
        </w:tc>
        <w:tc>
          <w:tcPr>
            <w:tcW w:w="1062" w:type="dxa"/>
            <w:shd w:val="clear" w:color="auto" w:fill="auto"/>
            <w:vAlign w:val="center"/>
          </w:tcPr>
          <w:p>
            <w:pPr>
              <w:spacing w:line="300" w:lineRule="exact"/>
              <w:jc w:val="right"/>
              <w:rPr>
                <w:rFonts w:ascii="方正书宋_GBK" w:eastAsia="方正书宋_GBK"/>
                <w:b/>
              </w:rPr>
            </w:pPr>
            <w:r>
              <w:rPr>
                <w:rFonts w:ascii="方正书宋_GBK" w:eastAsia="方正书宋_GBK"/>
                <w:b/>
              </w:rPr>
              <w:t>0.98</w:t>
            </w:r>
          </w:p>
        </w:tc>
        <w:tc>
          <w:tcPr>
            <w:tcW w:w="1062" w:type="dxa"/>
            <w:shd w:val="clear" w:color="auto" w:fill="auto"/>
            <w:vAlign w:val="center"/>
          </w:tcPr>
          <w:p>
            <w:pPr>
              <w:spacing w:line="300" w:lineRule="exact"/>
              <w:jc w:val="right"/>
              <w:rPr>
                <w:rFonts w:ascii="方正书宋_GBK" w:eastAsia="方正书宋_GBK"/>
                <w:b/>
              </w:rPr>
            </w:pPr>
            <w:r>
              <w:rPr>
                <w:rFonts w:ascii="方正书宋_GBK" w:eastAsia="方正书宋_GBK"/>
                <w:b/>
              </w:rPr>
              <w:t>0.98</w:t>
            </w:r>
          </w:p>
        </w:tc>
        <w:tc>
          <w:tcPr>
            <w:tcW w:w="1062" w:type="dxa"/>
            <w:shd w:val="clear" w:color="auto" w:fill="auto"/>
            <w:vAlign w:val="center"/>
          </w:tcPr>
          <w:p>
            <w:pPr>
              <w:spacing w:line="300" w:lineRule="exact"/>
              <w:jc w:val="right"/>
              <w:rPr>
                <w:rFonts w:ascii="方正书宋_GBK" w:eastAsia="方正书宋_GBK"/>
                <w:b/>
              </w:rPr>
            </w:pPr>
          </w:p>
        </w:tc>
        <w:tc>
          <w:tcPr>
            <w:tcW w:w="1062" w:type="dxa"/>
            <w:shd w:val="clear" w:color="auto" w:fill="auto"/>
            <w:vAlign w:val="center"/>
          </w:tcPr>
          <w:p>
            <w:pPr>
              <w:spacing w:line="300" w:lineRule="exact"/>
              <w:jc w:val="right"/>
              <w:rPr>
                <w:rFonts w:ascii="方正书宋_GBK" w:eastAsia="方正书宋_GBK"/>
                <w:b/>
              </w:rPr>
            </w:pPr>
          </w:p>
        </w:tc>
        <w:tc>
          <w:tcPr>
            <w:tcW w:w="1062" w:type="dxa"/>
            <w:shd w:val="clear" w:color="auto" w:fill="auto"/>
            <w:vAlign w:val="center"/>
          </w:tcPr>
          <w:p>
            <w:pPr>
              <w:spacing w:line="300" w:lineRule="exact"/>
              <w:jc w:val="right"/>
              <w:rPr>
                <w:rFonts w:ascii="方正书宋_GBK" w:eastAsia="方正书宋_GBK"/>
                <w:b/>
              </w:rPr>
            </w:pPr>
          </w:p>
        </w:tc>
        <w:tc>
          <w:tcPr>
            <w:tcW w:w="1062"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39.57</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其他台、桌类</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A060299</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个</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5"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39.57</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其他椅凳类</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A060399</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把</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39.57</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其他柜类</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A060599</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组</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0.07</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0.14</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0.14</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39.57</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其他柜类</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A060599</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个</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0.08</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9" w:hRule="atLeast"/>
          <w:jc w:val="center"/>
        </w:trPr>
        <w:tc>
          <w:tcPr>
            <w:tcW w:w="185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承德市艺术研究所小计</w:t>
            </w:r>
          </w:p>
        </w:tc>
        <w:tc>
          <w:tcPr>
            <w:tcW w:w="1062" w:type="dxa"/>
            <w:shd w:val="clear" w:color="auto" w:fill="auto"/>
            <w:vAlign w:val="center"/>
          </w:tcPr>
          <w:p>
            <w:pPr>
              <w:spacing w:line="300" w:lineRule="exact"/>
              <w:jc w:val="right"/>
              <w:rPr>
                <w:rFonts w:ascii="方正书宋_GBK" w:eastAsia="方正书宋_GBK"/>
                <w:b/>
              </w:rPr>
            </w:pPr>
          </w:p>
        </w:tc>
        <w:tc>
          <w:tcPr>
            <w:tcW w:w="1434" w:type="dxa"/>
            <w:shd w:val="clear" w:color="auto" w:fill="auto"/>
            <w:vAlign w:val="center"/>
          </w:tcPr>
          <w:p>
            <w:pPr>
              <w:spacing w:line="300" w:lineRule="exact"/>
              <w:jc w:val="left"/>
              <w:rPr>
                <w:rFonts w:ascii="方正书宋_GBK" w:eastAsia="方正书宋_GBK"/>
                <w:b/>
              </w:rPr>
            </w:pPr>
          </w:p>
        </w:tc>
        <w:tc>
          <w:tcPr>
            <w:tcW w:w="1434" w:type="dxa"/>
            <w:shd w:val="clear" w:color="auto" w:fill="auto"/>
            <w:vAlign w:val="center"/>
          </w:tcPr>
          <w:p>
            <w:pPr>
              <w:spacing w:line="300" w:lineRule="exact"/>
              <w:jc w:val="left"/>
              <w:rPr>
                <w:rFonts w:ascii="方正书宋_GBK" w:eastAsia="方正书宋_GBK"/>
                <w:b/>
              </w:rPr>
            </w:pPr>
          </w:p>
        </w:tc>
        <w:tc>
          <w:tcPr>
            <w:tcW w:w="664" w:type="dxa"/>
            <w:shd w:val="clear" w:color="auto" w:fill="auto"/>
            <w:vAlign w:val="center"/>
          </w:tcPr>
          <w:p>
            <w:pPr>
              <w:spacing w:line="300" w:lineRule="exact"/>
              <w:jc w:val="center"/>
              <w:rPr>
                <w:rFonts w:ascii="方正书宋_GBK" w:eastAsia="方正书宋_GBK"/>
                <w:b/>
              </w:rPr>
            </w:pPr>
          </w:p>
        </w:tc>
        <w:tc>
          <w:tcPr>
            <w:tcW w:w="850" w:type="dxa"/>
            <w:shd w:val="clear" w:color="auto" w:fill="auto"/>
            <w:vAlign w:val="center"/>
          </w:tcPr>
          <w:p>
            <w:pPr>
              <w:spacing w:line="300" w:lineRule="exact"/>
              <w:jc w:val="right"/>
              <w:rPr>
                <w:rFonts w:ascii="方正书宋_GBK" w:eastAsia="方正书宋_GBK"/>
                <w:b/>
              </w:rPr>
            </w:pPr>
          </w:p>
        </w:tc>
        <w:tc>
          <w:tcPr>
            <w:tcW w:w="850" w:type="dxa"/>
            <w:shd w:val="clear" w:color="auto" w:fill="auto"/>
            <w:vAlign w:val="center"/>
          </w:tcPr>
          <w:p>
            <w:pPr>
              <w:spacing w:line="300" w:lineRule="exact"/>
              <w:jc w:val="right"/>
              <w:rPr>
                <w:rFonts w:ascii="方正书宋_GBK" w:eastAsia="方正书宋_GBK"/>
                <w:b/>
              </w:rPr>
            </w:pPr>
          </w:p>
        </w:tc>
        <w:tc>
          <w:tcPr>
            <w:tcW w:w="1062" w:type="dxa"/>
            <w:shd w:val="clear" w:color="auto" w:fill="auto"/>
            <w:vAlign w:val="center"/>
          </w:tcPr>
          <w:p>
            <w:pPr>
              <w:spacing w:line="300" w:lineRule="exact"/>
              <w:jc w:val="right"/>
              <w:rPr>
                <w:rFonts w:ascii="方正书宋_GBK" w:eastAsia="方正书宋_GBK"/>
                <w:b/>
              </w:rPr>
            </w:pPr>
            <w:r>
              <w:rPr>
                <w:rFonts w:ascii="方正书宋_GBK" w:eastAsia="方正书宋_GBK"/>
                <w:b/>
              </w:rPr>
              <w:t>4.60</w:t>
            </w:r>
          </w:p>
        </w:tc>
        <w:tc>
          <w:tcPr>
            <w:tcW w:w="1062" w:type="dxa"/>
            <w:shd w:val="clear" w:color="auto" w:fill="auto"/>
            <w:vAlign w:val="center"/>
          </w:tcPr>
          <w:p>
            <w:pPr>
              <w:spacing w:line="300" w:lineRule="exact"/>
              <w:jc w:val="right"/>
              <w:rPr>
                <w:rFonts w:ascii="方正书宋_GBK" w:eastAsia="方正书宋_GBK"/>
                <w:b/>
              </w:rPr>
            </w:pPr>
            <w:r>
              <w:rPr>
                <w:rFonts w:ascii="方正书宋_GBK" w:eastAsia="方正书宋_GBK"/>
                <w:b/>
              </w:rPr>
              <w:t>4.60</w:t>
            </w:r>
          </w:p>
        </w:tc>
        <w:tc>
          <w:tcPr>
            <w:tcW w:w="1062" w:type="dxa"/>
            <w:shd w:val="clear" w:color="auto" w:fill="auto"/>
            <w:vAlign w:val="center"/>
          </w:tcPr>
          <w:p>
            <w:pPr>
              <w:spacing w:line="300" w:lineRule="exact"/>
              <w:jc w:val="right"/>
              <w:rPr>
                <w:rFonts w:ascii="方正书宋_GBK" w:eastAsia="方正书宋_GBK"/>
                <w:b/>
              </w:rPr>
            </w:pPr>
          </w:p>
        </w:tc>
        <w:tc>
          <w:tcPr>
            <w:tcW w:w="1062" w:type="dxa"/>
            <w:shd w:val="clear" w:color="auto" w:fill="auto"/>
            <w:vAlign w:val="center"/>
          </w:tcPr>
          <w:p>
            <w:pPr>
              <w:spacing w:line="300" w:lineRule="exact"/>
              <w:jc w:val="right"/>
              <w:rPr>
                <w:rFonts w:ascii="方正书宋_GBK" w:eastAsia="方正书宋_GBK"/>
                <w:b/>
              </w:rPr>
            </w:pPr>
          </w:p>
        </w:tc>
        <w:tc>
          <w:tcPr>
            <w:tcW w:w="1062" w:type="dxa"/>
            <w:shd w:val="clear" w:color="auto" w:fill="auto"/>
            <w:vAlign w:val="center"/>
          </w:tcPr>
          <w:p>
            <w:pPr>
              <w:spacing w:line="300" w:lineRule="exact"/>
              <w:jc w:val="right"/>
              <w:rPr>
                <w:rFonts w:ascii="方正书宋_GBK" w:eastAsia="方正书宋_GBK"/>
                <w:b/>
              </w:rPr>
            </w:pPr>
          </w:p>
        </w:tc>
        <w:tc>
          <w:tcPr>
            <w:tcW w:w="1062"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19.69</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1.92</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1.92</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19.69</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19.69</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木制台、桌类</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A060205</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19.69</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便携式计算机</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A02010105</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19.69</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木制台、桌类</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A060205</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19.69</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行业应用软件</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A0201080302</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套</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19.69</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行业应用软件</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A0201080302</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套</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6" w:hRule="atLeast"/>
          <w:jc w:val="center"/>
        </w:trPr>
        <w:tc>
          <w:tcPr>
            <w:tcW w:w="185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19.69</w:t>
            </w:r>
          </w:p>
        </w:tc>
        <w:tc>
          <w:tcPr>
            <w:tcW w:w="14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投影幕</w:t>
            </w:r>
          </w:p>
        </w:tc>
        <w:tc>
          <w:tcPr>
            <w:tcW w:w="1434" w:type="dxa"/>
            <w:shd w:val="clear" w:color="auto" w:fill="auto"/>
            <w:vAlign w:val="center"/>
          </w:tcPr>
          <w:p>
            <w:pPr>
              <w:spacing w:line="300" w:lineRule="exact"/>
              <w:jc w:val="left"/>
              <w:rPr>
                <w:rFonts w:ascii="方正书宋_GBK" w:eastAsia="方正书宋_GBK"/>
              </w:rPr>
            </w:pPr>
            <w:r>
              <w:rPr>
                <w:rFonts w:ascii="方正书宋_GBK" w:eastAsia="方正书宋_GBK"/>
              </w:rPr>
              <w:t>A020203</w:t>
            </w:r>
          </w:p>
        </w:tc>
        <w:tc>
          <w:tcPr>
            <w:tcW w:w="66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套</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50" w:type="dxa"/>
            <w:shd w:val="clear" w:color="auto" w:fill="auto"/>
            <w:vAlign w:val="center"/>
          </w:tcPr>
          <w:p>
            <w:pPr>
              <w:spacing w:line="300" w:lineRule="exact"/>
              <w:jc w:val="right"/>
              <w:rPr>
                <w:rFonts w:ascii="方正书宋_GBK" w:eastAsia="方正书宋_GBK"/>
              </w:rPr>
            </w:pPr>
            <w:r>
              <w:rPr>
                <w:rFonts w:ascii="方正书宋_GBK" w:eastAsia="方正书宋_GBK"/>
              </w:rPr>
              <w:t>0.08</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0.08</w:t>
            </w:r>
          </w:p>
        </w:tc>
        <w:tc>
          <w:tcPr>
            <w:tcW w:w="1062" w:type="dxa"/>
            <w:shd w:val="clear" w:color="auto" w:fill="auto"/>
            <w:vAlign w:val="center"/>
          </w:tcPr>
          <w:p>
            <w:pPr>
              <w:spacing w:line="300" w:lineRule="exact"/>
              <w:jc w:val="right"/>
              <w:rPr>
                <w:rFonts w:ascii="方正书宋_GBK" w:eastAsia="方正书宋_GBK"/>
              </w:rPr>
            </w:pPr>
            <w:r>
              <w:rPr>
                <w:rFonts w:ascii="方正书宋_GBK" w:eastAsia="方正书宋_GBK"/>
              </w:rPr>
              <w:t>0.08</w:t>
            </w: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c>
          <w:tcPr>
            <w:tcW w:w="1062" w:type="dxa"/>
            <w:shd w:val="clear" w:color="auto" w:fill="auto"/>
            <w:vAlign w:val="center"/>
          </w:tcPr>
          <w:p>
            <w:pPr>
              <w:spacing w:line="300" w:lineRule="exact"/>
              <w:jc w:val="right"/>
              <w:rPr>
                <w:rFonts w:ascii="方正书宋_GBK" w:eastAsia="方正书宋_GBK"/>
              </w:rPr>
            </w:pPr>
          </w:p>
        </w:tc>
      </w:tr>
    </w:tbl>
    <w:p>
      <w:pPr>
        <w:spacing w:line="300" w:lineRule="exact"/>
        <w:ind w:firstLine="560" w:firstLineChars="200"/>
        <w:jc w:val="left"/>
        <w:outlineLvl w:val="0"/>
        <w:rPr>
          <w:rFonts w:ascii="Times New Roman" w:eastAsia="方正仿宋_GBK"/>
          <w:sz w:val="28"/>
        </w:rPr>
        <w:sectPr>
          <w:pgSz w:w="16839" w:h="11907" w:orient="landscape"/>
          <w:pgMar w:top="1361" w:right="1020" w:bottom="1361" w:left="1020" w:header="851" w:footer="992" w:gutter="0"/>
          <w:cols w:space="425" w:num="1"/>
          <w:docGrid w:type="lines" w:linePitch="312" w:charSpace="0"/>
        </w:sectPr>
      </w:pPr>
    </w:p>
    <w:bookmarkEnd w:id="19"/>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autoSpaceDE w:val="0"/>
        <w:autoSpaceDN w:val="0"/>
        <w:adjustRightInd w:val="0"/>
        <w:ind w:firstLine="640" w:firstLineChars="200"/>
        <w:jc w:val="left"/>
        <w:rPr>
          <w:rFonts w:ascii="仿宋" w:hAnsi="仿宋" w:eastAsia="仿宋" w:cs="Times New Roman"/>
          <w:sz w:val="32"/>
          <w:szCs w:val="24"/>
        </w:rPr>
      </w:pPr>
      <w:r>
        <w:rPr>
          <w:rFonts w:hint="eastAsia" w:ascii="仿宋" w:hAnsi="仿宋" w:eastAsia="仿宋" w:cs="Times New Roman"/>
          <w:sz w:val="32"/>
          <w:szCs w:val="24"/>
        </w:rPr>
        <w:t>承德市旅游和文化广电局（含所属单位）上年末固定资产金额为780.19万元（详见下表），本年度各单位拟购置固定资产总额为11.84万元，主要为计算机、复印机、多功能一体机、投影仪、投影幕、办公家具等，已列入政府采购预算，详见政府采购预算表。</w:t>
      </w:r>
    </w:p>
    <w:p>
      <w:pPr>
        <w:rPr>
          <w:rFonts w:ascii="仿宋" w:hAnsi="仿宋" w:eastAsia="仿宋" w:cs="Times New Roman"/>
          <w:color w:val="FF0000"/>
          <w:sz w:val="32"/>
          <w:szCs w:val="32"/>
        </w:rPr>
      </w:pPr>
    </w:p>
    <w:tbl>
      <w:tblPr>
        <w:tblStyle w:val="9"/>
        <w:tblW w:w="8723" w:type="dxa"/>
        <w:jc w:val="center"/>
        <w:tblLayout w:type="fixed"/>
        <w:tblCellMar>
          <w:top w:w="0" w:type="dxa"/>
          <w:left w:w="108" w:type="dxa"/>
          <w:bottom w:w="0" w:type="dxa"/>
          <w:right w:w="108" w:type="dxa"/>
        </w:tblCellMar>
      </w:tblPr>
      <w:tblGrid>
        <w:gridCol w:w="3379"/>
        <w:gridCol w:w="2043"/>
        <w:gridCol w:w="3301"/>
      </w:tblGrid>
      <w:tr>
        <w:tblPrEx>
          <w:tblCellMar>
            <w:top w:w="0" w:type="dxa"/>
            <w:left w:w="108" w:type="dxa"/>
            <w:bottom w:w="0" w:type="dxa"/>
            <w:right w:w="108" w:type="dxa"/>
          </w:tblCellMar>
        </w:tblPrEx>
        <w:trPr>
          <w:trHeight w:val="693" w:hRule="atLeast"/>
          <w:jc w:val="center"/>
        </w:trPr>
        <w:tc>
          <w:tcPr>
            <w:tcW w:w="8723" w:type="dxa"/>
            <w:gridSpan w:val="3"/>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承德市旅游和文化广电局固定资产占用情况表</w:t>
            </w:r>
          </w:p>
        </w:tc>
      </w:tr>
      <w:tr>
        <w:tblPrEx>
          <w:tblCellMar>
            <w:top w:w="0" w:type="dxa"/>
            <w:left w:w="108" w:type="dxa"/>
            <w:bottom w:w="0" w:type="dxa"/>
            <w:right w:w="108" w:type="dxa"/>
          </w:tblCellMar>
        </w:tblPrEx>
        <w:trPr>
          <w:trHeight w:val="502" w:hRule="atLeast"/>
          <w:jc w:val="center"/>
        </w:trPr>
        <w:tc>
          <w:tcPr>
            <w:tcW w:w="5422" w:type="dxa"/>
            <w:gridSpan w:val="2"/>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编制部门：承德市旅游和文化广电局</w:t>
            </w:r>
          </w:p>
        </w:tc>
        <w:tc>
          <w:tcPr>
            <w:tcW w:w="3301" w:type="dxa"/>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201</w:t>
            </w:r>
            <w:r>
              <w:rPr>
                <w:rFonts w:hint="eastAsia" w:ascii="宋体" w:hAnsi="宋体" w:cs="宋体"/>
                <w:kern w:val="0"/>
                <w:sz w:val="22"/>
              </w:rPr>
              <w:t>9年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CellMar>
            <w:top w:w="0" w:type="dxa"/>
            <w:left w:w="108" w:type="dxa"/>
            <w:bottom w:w="0" w:type="dxa"/>
            <w:right w:w="108" w:type="dxa"/>
          </w:tblCellMar>
        </w:tblPrEx>
        <w:trPr>
          <w:trHeight w:val="634" w:hRule="atLeast"/>
          <w:jc w:val="center"/>
        </w:trPr>
        <w:tc>
          <w:tcPr>
            <w:tcW w:w="33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2042"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3301"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634" w:hRule="atLeast"/>
          <w:jc w:val="center"/>
        </w:trPr>
        <w:tc>
          <w:tcPr>
            <w:tcW w:w="3379"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资产总额</w:t>
            </w:r>
          </w:p>
        </w:tc>
        <w:tc>
          <w:tcPr>
            <w:tcW w:w="2042"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3301"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cs="宋体"/>
                <w:kern w:val="0"/>
                <w:sz w:val="22"/>
              </w:rPr>
              <w:t>780.19</w:t>
            </w:r>
          </w:p>
        </w:tc>
      </w:tr>
      <w:tr>
        <w:tblPrEx>
          <w:tblCellMar>
            <w:top w:w="0" w:type="dxa"/>
            <w:left w:w="108" w:type="dxa"/>
            <w:bottom w:w="0" w:type="dxa"/>
            <w:right w:w="108" w:type="dxa"/>
          </w:tblCellMar>
        </w:tblPrEx>
        <w:trPr>
          <w:trHeight w:val="634" w:hRule="atLeast"/>
          <w:jc w:val="center"/>
        </w:trPr>
        <w:tc>
          <w:tcPr>
            <w:tcW w:w="337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2042"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cs="宋体"/>
                <w:kern w:val="0"/>
                <w:sz w:val="22"/>
              </w:rPr>
              <w:t>1227.41</w:t>
            </w:r>
          </w:p>
        </w:tc>
        <w:tc>
          <w:tcPr>
            <w:tcW w:w="3301"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cs="宋体"/>
                <w:kern w:val="0"/>
                <w:sz w:val="22"/>
              </w:rPr>
              <w:t>339.38</w:t>
            </w:r>
          </w:p>
        </w:tc>
      </w:tr>
      <w:tr>
        <w:tblPrEx>
          <w:tblCellMar>
            <w:top w:w="0" w:type="dxa"/>
            <w:left w:w="108" w:type="dxa"/>
            <w:bottom w:w="0" w:type="dxa"/>
            <w:right w:w="108" w:type="dxa"/>
          </w:tblCellMar>
        </w:tblPrEx>
        <w:trPr>
          <w:trHeight w:val="634" w:hRule="atLeast"/>
          <w:jc w:val="center"/>
        </w:trPr>
        <w:tc>
          <w:tcPr>
            <w:tcW w:w="337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2042"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cs="宋体"/>
                <w:kern w:val="0"/>
                <w:sz w:val="22"/>
              </w:rPr>
              <w:t>1227.41</w:t>
            </w:r>
          </w:p>
        </w:tc>
        <w:tc>
          <w:tcPr>
            <w:tcW w:w="3301"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cs="宋体"/>
                <w:kern w:val="0"/>
                <w:sz w:val="22"/>
              </w:rPr>
              <w:t>339.38</w:t>
            </w:r>
          </w:p>
        </w:tc>
      </w:tr>
      <w:tr>
        <w:tblPrEx>
          <w:tblCellMar>
            <w:top w:w="0" w:type="dxa"/>
            <w:left w:w="108" w:type="dxa"/>
            <w:bottom w:w="0" w:type="dxa"/>
            <w:right w:w="108" w:type="dxa"/>
          </w:tblCellMar>
        </w:tblPrEx>
        <w:trPr>
          <w:trHeight w:val="634" w:hRule="atLeast"/>
          <w:jc w:val="center"/>
        </w:trPr>
        <w:tc>
          <w:tcPr>
            <w:tcW w:w="337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2042"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cs="宋体"/>
                <w:kern w:val="0"/>
                <w:sz w:val="22"/>
              </w:rPr>
              <w:t>7</w:t>
            </w:r>
          </w:p>
        </w:tc>
        <w:tc>
          <w:tcPr>
            <w:tcW w:w="3301"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cs="宋体"/>
                <w:kern w:val="0"/>
                <w:sz w:val="22"/>
              </w:rPr>
              <w:t>146.31</w:t>
            </w:r>
          </w:p>
        </w:tc>
      </w:tr>
      <w:tr>
        <w:tblPrEx>
          <w:tblCellMar>
            <w:top w:w="0" w:type="dxa"/>
            <w:left w:w="108" w:type="dxa"/>
            <w:bottom w:w="0" w:type="dxa"/>
            <w:right w:w="108" w:type="dxa"/>
          </w:tblCellMar>
        </w:tblPrEx>
        <w:trPr>
          <w:trHeight w:val="634" w:hRule="atLeast"/>
          <w:jc w:val="center"/>
        </w:trPr>
        <w:tc>
          <w:tcPr>
            <w:tcW w:w="337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、单价在5</w:t>
            </w:r>
            <w:r>
              <w:rPr>
                <w:rFonts w:ascii="宋体" w:hAnsi="宋体" w:cs="宋体"/>
                <w:kern w:val="0"/>
                <w:sz w:val="22"/>
              </w:rPr>
              <w:t>0</w:t>
            </w:r>
            <w:r>
              <w:rPr>
                <w:rFonts w:hint="eastAsia" w:ascii="宋体" w:hAnsi="宋体" w:cs="宋体"/>
                <w:kern w:val="0"/>
                <w:sz w:val="22"/>
              </w:rPr>
              <w:t>万元以上设备</w:t>
            </w:r>
          </w:p>
        </w:tc>
        <w:tc>
          <w:tcPr>
            <w:tcW w:w="2042"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3301"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634" w:hRule="atLeast"/>
          <w:jc w:val="center"/>
        </w:trPr>
        <w:tc>
          <w:tcPr>
            <w:tcW w:w="337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2042"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3301"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cs="宋体"/>
                <w:kern w:val="0"/>
                <w:sz w:val="22"/>
              </w:rPr>
              <w:t>294.50</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、一般预算收入：市级财政当年拨付的资金。</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、基本支出：为保障机构正常运转，完成日常工作任务，而发生的人员支出和公用支出。</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、项目支出：是指在基本支出之外，为完成特定行政任务和事业发展目标，而发生的支出。</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机关运行费：是指为保证行政单位（包括参照公务员管理的事业单位）运行，用于购买货物和服务的各项资金。主要包括：办公费、印刷费，水费、电费、邮电费、福利费、日常维修费、办公取暖费、办公物业服务费、公务车运行维护费等。</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rPr>
          <w:rFonts w:ascii="黑体" w:hAnsi="黑体" w:eastAsia="黑体" w:cs="宋体-方正超大字符集"/>
          <w:bCs/>
          <w:sz w:val="32"/>
          <w:szCs w:val="32"/>
        </w:rPr>
      </w:pPr>
      <w:r>
        <w:rPr>
          <w:rFonts w:hint="eastAsia" w:ascii="黑体" w:hAnsi="黑体" w:eastAsia="黑体" w:cs="宋体-方正超大字符集"/>
          <w:bCs/>
          <w:sz w:val="32"/>
          <w:szCs w:val="32"/>
        </w:rPr>
        <w:t>九、其他需要说明的事项</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我局无其他需要说明的事项。</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十、预算批复时间及文号</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预算批复时间为2020年2月5日，批复文件文号承财预〔2020〕11号。</w:t>
      </w:r>
    </w:p>
    <w:p>
      <w:pPr>
        <w:ind w:firstLine="640" w:firstLineChars="200"/>
        <w:rPr>
          <w:rFonts w:ascii="仿宋" w:hAnsi="仿宋" w:eastAsia="仿宋" w:cs="仿宋_GB2312"/>
          <w:sz w:val="32"/>
          <w:szCs w:val="32"/>
        </w:rPr>
      </w:pPr>
    </w:p>
    <w:sectPr>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黑体_GBK">
    <w:altName w:val="宋体"/>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宋体-方正超大字符集">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11</w:t>
    </w:r>
    <w:r>
      <w:rPr>
        <w:lang w:val="zh-CN"/>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294D"/>
    <w:rsid w:val="000159E8"/>
    <w:rsid w:val="00037AF6"/>
    <w:rsid w:val="00040B70"/>
    <w:rsid w:val="0004316D"/>
    <w:rsid w:val="00044D8C"/>
    <w:rsid w:val="00055E8D"/>
    <w:rsid w:val="00075D5F"/>
    <w:rsid w:val="000764F4"/>
    <w:rsid w:val="00080DEA"/>
    <w:rsid w:val="000B3E8D"/>
    <w:rsid w:val="000C3A19"/>
    <w:rsid w:val="000C6544"/>
    <w:rsid w:val="000C7828"/>
    <w:rsid w:val="000E563C"/>
    <w:rsid w:val="001110F7"/>
    <w:rsid w:val="00122734"/>
    <w:rsid w:val="001245BB"/>
    <w:rsid w:val="001575B7"/>
    <w:rsid w:val="00165BF9"/>
    <w:rsid w:val="001666B9"/>
    <w:rsid w:val="001B4952"/>
    <w:rsid w:val="001C7DD9"/>
    <w:rsid w:val="001F066C"/>
    <w:rsid w:val="00202404"/>
    <w:rsid w:val="00204690"/>
    <w:rsid w:val="00206F12"/>
    <w:rsid w:val="00213D2D"/>
    <w:rsid w:val="002224CD"/>
    <w:rsid w:val="00225B88"/>
    <w:rsid w:val="00241FD4"/>
    <w:rsid w:val="00251B12"/>
    <w:rsid w:val="00251F57"/>
    <w:rsid w:val="00275928"/>
    <w:rsid w:val="00286631"/>
    <w:rsid w:val="00296113"/>
    <w:rsid w:val="002D5F0C"/>
    <w:rsid w:val="002F257C"/>
    <w:rsid w:val="002F3E58"/>
    <w:rsid w:val="002F5D4A"/>
    <w:rsid w:val="002F7EB1"/>
    <w:rsid w:val="0030542C"/>
    <w:rsid w:val="00311B7A"/>
    <w:rsid w:val="0031250B"/>
    <w:rsid w:val="00314C7B"/>
    <w:rsid w:val="00361829"/>
    <w:rsid w:val="00361B03"/>
    <w:rsid w:val="00362A93"/>
    <w:rsid w:val="00375179"/>
    <w:rsid w:val="003B24F5"/>
    <w:rsid w:val="003B7808"/>
    <w:rsid w:val="003D3930"/>
    <w:rsid w:val="00411F17"/>
    <w:rsid w:val="004244DC"/>
    <w:rsid w:val="00427EEE"/>
    <w:rsid w:val="00444670"/>
    <w:rsid w:val="00444F88"/>
    <w:rsid w:val="0044646E"/>
    <w:rsid w:val="00451871"/>
    <w:rsid w:val="00460632"/>
    <w:rsid w:val="00472923"/>
    <w:rsid w:val="00473D15"/>
    <w:rsid w:val="00474901"/>
    <w:rsid w:val="00485CA4"/>
    <w:rsid w:val="00490D36"/>
    <w:rsid w:val="00491262"/>
    <w:rsid w:val="00493D56"/>
    <w:rsid w:val="004A06EB"/>
    <w:rsid w:val="004A4C37"/>
    <w:rsid w:val="004C0DBD"/>
    <w:rsid w:val="004E3066"/>
    <w:rsid w:val="004E6814"/>
    <w:rsid w:val="004E7176"/>
    <w:rsid w:val="004E74CD"/>
    <w:rsid w:val="00503642"/>
    <w:rsid w:val="00526499"/>
    <w:rsid w:val="00534621"/>
    <w:rsid w:val="00544B51"/>
    <w:rsid w:val="00560DF6"/>
    <w:rsid w:val="00561524"/>
    <w:rsid w:val="00563795"/>
    <w:rsid w:val="00573562"/>
    <w:rsid w:val="00575EF6"/>
    <w:rsid w:val="00577A9B"/>
    <w:rsid w:val="00586615"/>
    <w:rsid w:val="00597022"/>
    <w:rsid w:val="005C1983"/>
    <w:rsid w:val="005C44F8"/>
    <w:rsid w:val="005E0D25"/>
    <w:rsid w:val="006072F9"/>
    <w:rsid w:val="0060758B"/>
    <w:rsid w:val="006131CE"/>
    <w:rsid w:val="006135A5"/>
    <w:rsid w:val="00613644"/>
    <w:rsid w:val="00614A29"/>
    <w:rsid w:val="006257B7"/>
    <w:rsid w:val="0063454A"/>
    <w:rsid w:val="00646812"/>
    <w:rsid w:val="00660858"/>
    <w:rsid w:val="0068428D"/>
    <w:rsid w:val="006901B5"/>
    <w:rsid w:val="0069753B"/>
    <w:rsid w:val="006A02F3"/>
    <w:rsid w:val="006E3FDA"/>
    <w:rsid w:val="006F03D4"/>
    <w:rsid w:val="006F2C8E"/>
    <w:rsid w:val="006F48DF"/>
    <w:rsid w:val="007001AA"/>
    <w:rsid w:val="0070379C"/>
    <w:rsid w:val="0070499F"/>
    <w:rsid w:val="00705F10"/>
    <w:rsid w:val="0071709C"/>
    <w:rsid w:val="00745710"/>
    <w:rsid w:val="0075393C"/>
    <w:rsid w:val="00776C08"/>
    <w:rsid w:val="007959DD"/>
    <w:rsid w:val="00796C3B"/>
    <w:rsid w:val="007B25ED"/>
    <w:rsid w:val="007C4BDA"/>
    <w:rsid w:val="007D2AF5"/>
    <w:rsid w:val="007E042C"/>
    <w:rsid w:val="007E1DA8"/>
    <w:rsid w:val="007E7C88"/>
    <w:rsid w:val="007E7F22"/>
    <w:rsid w:val="007F6C26"/>
    <w:rsid w:val="0081588C"/>
    <w:rsid w:val="008224E2"/>
    <w:rsid w:val="00827052"/>
    <w:rsid w:val="008300C5"/>
    <w:rsid w:val="008334AE"/>
    <w:rsid w:val="00836FED"/>
    <w:rsid w:val="0084132C"/>
    <w:rsid w:val="008429D7"/>
    <w:rsid w:val="00845CD2"/>
    <w:rsid w:val="00852B0D"/>
    <w:rsid w:val="00862B20"/>
    <w:rsid w:val="00881692"/>
    <w:rsid w:val="00883978"/>
    <w:rsid w:val="00887B5F"/>
    <w:rsid w:val="008A15AD"/>
    <w:rsid w:val="008B0E9F"/>
    <w:rsid w:val="008B3CC5"/>
    <w:rsid w:val="008D263B"/>
    <w:rsid w:val="008D2718"/>
    <w:rsid w:val="008E4261"/>
    <w:rsid w:val="008E6CE7"/>
    <w:rsid w:val="008E785E"/>
    <w:rsid w:val="008F3E86"/>
    <w:rsid w:val="008F4662"/>
    <w:rsid w:val="008F62B7"/>
    <w:rsid w:val="009006DE"/>
    <w:rsid w:val="00905D08"/>
    <w:rsid w:val="00911951"/>
    <w:rsid w:val="00913372"/>
    <w:rsid w:val="00915A3E"/>
    <w:rsid w:val="00925753"/>
    <w:rsid w:val="00941614"/>
    <w:rsid w:val="0094723C"/>
    <w:rsid w:val="00966C5C"/>
    <w:rsid w:val="009730AE"/>
    <w:rsid w:val="00973104"/>
    <w:rsid w:val="0097568E"/>
    <w:rsid w:val="00977174"/>
    <w:rsid w:val="0099109D"/>
    <w:rsid w:val="009B3FA1"/>
    <w:rsid w:val="009B4D8C"/>
    <w:rsid w:val="009C288D"/>
    <w:rsid w:val="009C3E71"/>
    <w:rsid w:val="009D4ECA"/>
    <w:rsid w:val="00A25820"/>
    <w:rsid w:val="00A26179"/>
    <w:rsid w:val="00A56BCD"/>
    <w:rsid w:val="00A72D2E"/>
    <w:rsid w:val="00A7313B"/>
    <w:rsid w:val="00A80D2B"/>
    <w:rsid w:val="00A911E7"/>
    <w:rsid w:val="00A939D9"/>
    <w:rsid w:val="00AA08D2"/>
    <w:rsid w:val="00AA36FF"/>
    <w:rsid w:val="00AB0127"/>
    <w:rsid w:val="00AC4232"/>
    <w:rsid w:val="00AD6181"/>
    <w:rsid w:val="00AE65FF"/>
    <w:rsid w:val="00AF05BD"/>
    <w:rsid w:val="00AF4245"/>
    <w:rsid w:val="00B20712"/>
    <w:rsid w:val="00B20CFC"/>
    <w:rsid w:val="00B257F8"/>
    <w:rsid w:val="00B41919"/>
    <w:rsid w:val="00B41AC6"/>
    <w:rsid w:val="00B43238"/>
    <w:rsid w:val="00B449FE"/>
    <w:rsid w:val="00B628F5"/>
    <w:rsid w:val="00B63BF7"/>
    <w:rsid w:val="00B64E0A"/>
    <w:rsid w:val="00B73280"/>
    <w:rsid w:val="00B75216"/>
    <w:rsid w:val="00B91D52"/>
    <w:rsid w:val="00BA0A76"/>
    <w:rsid w:val="00BA1ACD"/>
    <w:rsid w:val="00BB1889"/>
    <w:rsid w:val="00BB42E7"/>
    <w:rsid w:val="00BB6E9B"/>
    <w:rsid w:val="00BB7EA2"/>
    <w:rsid w:val="00BC201C"/>
    <w:rsid w:val="00BD30F5"/>
    <w:rsid w:val="00BE1DA1"/>
    <w:rsid w:val="00BF76B2"/>
    <w:rsid w:val="00C06D37"/>
    <w:rsid w:val="00C20D27"/>
    <w:rsid w:val="00C26328"/>
    <w:rsid w:val="00C30D0D"/>
    <w:rsid w:val="00C32E0A"/>
    <w:rsid w:val="00C34492"/>
    <w:rsid w:val="00C64001"/>
    <w:rsid w:val="00C6589F"/>
    <w:rsid w:val="00C712DC"/>
    <w:rsid w:val="00CA1F5B"/>
    <w:rsid w:val="00CA7176"/>
    <w:rsid w:val="00CC163D"/>
    <w:rsid w:val="00CD2773"/>
    <w:rsid w:val="00CD40EA"/>
    <w:rsid w:val="00CE143B"/>
    <w:rsid w:val="00D13BA0"/>
    <w:rsid w:val="00D1432E"/>
    <w:rsid w:val="00D47732"/>
    <w:rsid w:val="00D5378C"/>
    <w:rsid w:val="00D65422"/>
    <w:rsid w:val="00D74B13"/>
    <w:rsid w:val="00D91D1A"/>
    <w:rsid w:val="00D93E56"/>
    <w:rsid w:val="00DA2829"/>
    <w:rsid w:val="00DA2E22"/>
    <w:rsid w:val="00DB506D"/>
    <w:rsid w:val="00E167C7"/>
    <w:rsid w:val="00E2130B"/>
    <w:rsid w:val="00E24C30"/>
    <w:rsid w:val="00E3221E"/>
    <w:rsid w:val="00E45175"/>
    <w:rsid w:val="00E61FE4"/>
    <w:rsid w:val="00E67DFE"/>
    <w:rsid w:val="00E8323D"/>
    <w:rsid w:val="00E862C1"/>
    <w:rsid w:val="00E94545"/>
    <w:rsid w:val="00E9765C"/>
    <w:rsid w:val="00EA52F6"/>
    <w:rsid w:val="00EB6C97"/>
    <w:rsid w:val="00EC22B1"/>
    <w:rsid w:val="00EC47D9"/>
    <w:rsid w:val="00EC47F6"/>
    <w:rsid w:val="00EC7CBD"/>
    <w:rsid w:val="00ED3ED7"/>
    <w:rsid w:val="00ED3F9D"/>
    <w:rsid w:val="00ED7DF8"/>
    <w:rsid w:val="00EE4AE5"/>
    <w:rsid w:val="00EF40EF"/>
    <w:rsid w:val="00EF7B08"/>
    <w:rsid w:val="00F2662C"/>
    <w:rsid w:val="00F35981"/>
    <w:rsid w:val="00F427ED"/>
    <w:rsid w:val="00F54E90"/>
    <w:rsid w:val="00F66032"/>
    <w:rsid w:val="00F958C2"/>
    <w:rsid w:val="00F9645A"/>
    <w:rsid w:val="00FA5B80"/>
    <w:rsid w:val="00FA6898"/>
    <w:rsid w:val="00FB77B7"/>
    <w:rsid w:val="00FD69F4"/>
    <w:rsid w:val="00FE3D4E"/>
    <w:rsid w:val="01FB23CB"/>
    <w:rsid w:val="05235019"/>
    <w:rsid w:val="0B0D77B0"/>
    <w:rsid w:val="0C3D5924"/>
    <w:rsid w:val="0D9F1876"/>
    <w:rsid w:val="0DC1618F"/>
    <w:rsid w:val="10ED36A0"/>
    <w:rsid w:val="114917E9"/>
    <w:rsid w:val="15F42192"/>
    <w:rsid w:val="19C36DAA"/>
    <w:rsid w:val="1A5D684E"/>
    <w:rsid w:val="1ABE55EE"/>
    <w:rsid w:val="1D954D97"/>
    <w:rsid w:val="2A012DF7"/>
    <w:rsid w:val="303D4E30"/>
    <w:rsid w:val="316E2FA4"/>
    <w:rsid w:val="3507028C"/>
    <w:rsid w:val="3595643A"/>
    <w:rsid w:val="38E01BC5"/>
    <w:rsid w:val="3CD42DDC"/>
    <w:rsid w:val="429960CF"/>
    <w:rsid w:val="45C76287"/>
    <w:rsid w:val="471D5503"/>
    <w:rsid w:val="492C0AE6"/>
    <w:rsid w:val="4A5B700A"/>
    <w:rsid w:val="4DF57B76"/>
    <w:rsid w:val="541C1C0A"/>
    <w:rsid w:val="55145A25"/>
    <w:rsid w:val="55383E38"/>
    <w:rsid w:val="5911172D"/>
    <w:rsid w:val="59870472"/>
    <w:rsid w:val="5E731884"/>
    <w:rsid w:val="67706CC4"/>
    <w:rsid w:val="678A783D"/>
    <w:rsid w:val="685B7F7B"/>
    <w:rsid w:val="68E72B3C"/>
    <w:rsid w:val="6C053E44"/>
    <w:rsid w:val="6CA86ED0"/>
    <w:rsid w:val="724C7A91"/>
    <w:rsid w:val="72617A36"/>
    <w:rsid w:val="7EB2342C"/>
    <w:rsid w:val="7FBC791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qFormat="1"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semiHidden="0"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7"/>
    <w:semiHidden/>
    <w:qFormat/>
    <w:locked/>
    <w:uiPriority w:val="99"/>
    <w:rPr>
      <w:sz w:val="18"/>
      <w:szCs w:val="18"/>
    </w:rPr>
  </w:style>
  <w:style w:type="paragraph" w:styleId="3">
    <w:name w:val="footer"/>
    <w:basedOn w:val="1"/>
    <w:link w:val="15"/>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6"/>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39"/>
    <w:rPr>
      <w:rFonts w:ascii="Times New Roman" w:hAnsi="Times New Roman" w:cs="Times New Roman"/>
      <w:szCs w:val="24"/>
    </w:rPr>
  </w:style>
  <w:style w:type="paragraph" w:styleId="6">
    <w:name w:val="footnote text"/>
    <w:basedOn w:val="1"/>
    <w:link w:val="18"/>
    <w:semiHidden/>
    <w:unhideWhenUsed/>
    <w:qFormat/>
    <w:locked/>
    <w:uiPriority w:val="99"/>
    <w:pPr>
      <w:snapToGrid w:val="0"/>
      <w:jc w:val="left"/>
    </w:pPr>
    <w:rPr>
      <w:rFonts w:cs="Times New Roman"/>
      <w:sz w:val="18"/>
      <w:szCs w:val="18"/>
    </w:rPr>
  </w:style>
  <w:style w:type="paragraph" w:styleId="7">
    <w:name w:val="toc 2"/>
    <w:basedOn w:val="1"/>
    <w:next w:val="1"/>
    <w:qFormat/>
    <w:uiPriority w:val="99"/>
    <w:pPr>
      <w:ind w:left="420" w:leftChars="200"/>
    </w:pPr>
    <w:rPr>
      <w:rFonts w:ascii="Times New Roman" w:hAnsi="Times New Roman" w:cs="Times New Roman"/>
      <w:szCs w:val="24"/>
    </w:rPr>
  </w:style>
  <w:style w:type="paragraph" w:styleId="8">
    <w:name w:val="Normal (Web)"/>
    <w:basedOn w:val="1"/>
    <w:unhideWhenUsed/>
    <w:qFormat/>
    <w:locked/>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locked/>
    <w:uiPriority w:val="22"/>
    <w:rPr>
      <w:b/>
      <w:bCs/>
    </w:rPr>
  </w:style>
  <w:style w:type="character" w:styleId="12">
    <w:name w:val="page number"/>
    <w:basedOn w:val="10"/>
    <w:semiHidden/>
    <w:unhideWhenUsed/>
    <w:locked/>
    <w:uiPriority w:val="99"/>
  </w:style>
  <w:style w:type="character" w:styleId="13">
    <w:name w:val="Hyperlink"/>
    <w:basedOn w:val="10"/>
    <w:unhideWhenUsed/>
    <w:locked/>
    <w:uiPriority w:val="99"/>
    <w:rPr>
      <w:color w:val="0000FF"/>
      <w:u w:val="single"/>
    </w:rPr>
  </w:style>
  <w:style w:type="character" w:styleId="14">
    <w:name w:val="footnote reference"/>
    <w:basedOn w:val="10"/>
    <w:semiHidden/>
    <w:unhideWhenUsed/>
    <w:qFormat/>
    <w:locked/>
    <w:uiPriority w:val="99"/>
    <w:rPr>
      <w:vertAlign w:val="superscript"/>
    </w:rPr>
  </w:style>
  <w:style w:type="character" w:customStyle="1" w:styleId="15">
    <w:name w:val="页脚 Char"/>
    <w:basedOn w:val="10"/>
    <w:link w:val="3"/>
    <w:locked/>
    <w:uiPriority w:val="99"/>
    <w:rPr>
      <w:rFonts w:ascii="Times New Roman" w:hAnsi="Times New Roman" w:eastAsia="宋体" w:cs="Times New Roman"/>
      <w:sz w:val="18"/>
      <w:szCs w:val="18"/>
    </w:rPr>
  </w:style>
  <w:style w:type="character" w:customStyle="1" w:styleId="16">
    <w:name w:val="页眉 Char"/>
    <w:basedOn w:val="10"/>
    <w:link w:val="4"/>
    <w:locked/>
    <w:uiPriority w:val="99"/>
    <w:rPr>
      <w:rFonts w:ascii="Times New Roman" w:hAnsi="Times New Roman" w:eastAsia="宋体" w:cs="Times New Roman"/>
      <w:sz w:val="18"/>
      <w:szCs w:val="18"/>
    </w:rPr>
  </w:style>
  <w:style w:type="character" w:customStyle="1" w:styleId="17">
    <w:name w:val="批注框文本 Char"/>
    <w:basedOn w:val="10"/>
    <w:link w:val="2"/>
    <w:semiHidden/>
    <w:locked/>
    <w:uiPriority w:val="99"/>
    <w:rPr>
      <w:rFonts w:ascii="Calibri" w:hAnsi="Calibri" w:cs="黑体"/>
      <w:sz w:val="2"/>
    </w:rPr>
  </w:style>
  <w:style w:type="character" w:customStyle="1" w:styleId="18">
    <w:name w:val="脚注文本 Char"/>
    <w:basedOn w:val="10"/>
    <w:link w:val="6"/>
    <w:semiHidden/>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3800</Words>
  <Characters>21660</Characters>
  <Lines>180</Lines>
  <Paragraphs>50</Paragraphs>
  <TotalTime>1275</TotalTime>
  <ScaleCrop>false</ScaleCrop>
  <LinksUpToDate>false</LinksUpToDate>
  <CharactersWithSpaces>25410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2017-01-20T01:29:00Z</dcterms:created>
  <dc:creator>guest</dc:creator>
  <cp:lastModifiedBy>Administrator</cp:lastModifiedBy>
  <cp:lastPrinted>2018-03-15T01:33:00Z</cp:lastPrinted>
  <dcterms:modified xsi:type="dcterms:W3CDTF">2021-02-19T01:43:35Z</dcterms:modified>
  <dc:title>河北省2017年部门预算信息公开</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